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4896" w14:textId="1F750E91" w:rsidR="00D60D74" w:rsidRDefault="00AB580E" w:rsidP="00AB580E">
      <w:pPr>
        <w:jc w:val="center"/>
      </w:pPr>
      <w:r>
        <w:rPr>
          <w:noProof/>
        </w:rPr>
        <w:drawing>
          <wp:inline distT="0" distB="0" distL="0" distR="0" wp14:anchorId="53D7AD1F" wp14:editId="14E49000">
            <wp:extent cx="3571875" cy="1507208"/>
            <wp:effectExtent l="0" t="0" r="0" b="0"/>
            <wp:docPr id="2" name="Picture 2" descr="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278" cy="1522991"/>
                    </a:xfrm>
                    <a:prstGeom prst="rect">
                      <a:avLst/>
                    </a:prstGeom>
                    <a:noFill/>
                    <a:ln>
                      <a:noFill/>
                    </a:ln>
                  </pic:spPr>
                </pic:pic>
              </a:graphicData>
            </a:graphic>
          </wp:inline>
        </w:drawing>
      </w:r>
    </w:p>
    <w:p w14:paraId="68BC9DDA" w14:textId="5BD9FAFE" w:rsidR="00AB580E" w:rsidRDefault="00AB580E" w:rsidP="00AB580E">
      <w:pPr>
        <w:jc w:val="center"/>
      </w:pPr>
    </w:p>
    <w:p w14:paraId="547EBDE9" w14:textId="1D48731B" w:rsidR="00AB580E" w:rsidRDefault="00AB580E" w:rsidP="00AB580E">
      <w:pPr>
        <w:jc w:val="center"/>
      </w:pPr>
    </w:p>
    <w:p w14:paraId="4C48257C" w14:textId="77777777" w:rsidR="00AB580E" w:rsidRPr="00AB580E" w:rsidRDefault="00AB580E" w:rsidP="00AB580E">
      <w:pPr>
        <w:jc w:val="center"/>
        <w:rPr>
          <w:sz w:val="36"/>
          <w:szCs w:val="36"/>
        </w:rPr>
      </w:pPr>
      <w:r w:rsidRPr="00AB580E">
        <w:rPr>
          <w:sz w:val="36"/>
          <w:szCs w:val="36"/>
        </w:rPr>
        <w:t xml:space="preserve">Request for Qualifications </w:t>
      </w:r>
    </w:p>
    <w:p w14:paraId="636DD2ED" w14:textId="77777777" w:rsidR="00AB580E" w:rsidRDefault="00AB580E" w:rsidP="00AB580E">
      <w:pPr>
        <w:jc w:val="center"/>
      </w:pPr>
      <w:r>
        <w:t xml:space="preserve">For: </w:t>
      </w:r>
    </w:p>
    <w:p w14:paraId="6045C396" w14:textId="77777777" w:rsidR="00AB580E" w:rsidRPr="00AB580E" w:rsidRDefault="00AB580E" w:rsidP="00AB580E">
      <w:pPr>
        <w:jc w:val="center"/>
        <w:rPr>
          <w:b/>
          <w:bCs/>
          <w:sz w:val="36"/>
          <w:szCs w:val="36"/>
        </w:rPr>
      </w:pPr>
      <w:r w:rsidRPr="00AB580E">
        <w:rPr>
          <w:b/>
          <w:bCs/>
          <w:sz w:val="36"/>
          <w:szCs w:val="36"/>
        </w:rPr>
        <w:t xml:space="preserve">Impervious Area Analysis for Stormwater Fee Structure </w:t>
      </w:r>
    </w:p>
    <w:p w14:paraId="4F629128" w14:textId="77777777" w:rsidR="00AB580E" w:rsidRDefault="00AB580E" w:rsidP="00AB580E">
      <w:pPr>
        <w:jc w:val="center"/>
      </w:pPr>
      <w:r>
        <w:t xml:space="preserve">For: </w:t>
      </w:r>
    </w:p>
    <w:p w14:paraId="4931E74E" w14:textId="77777777" w:rsidR="00AB580E" w:rsidRPr="00AB580E" w:rsidRDefault="00AB580E" w:rsidP="00AB580E">
      <w:pPr>
        <w:jc w:val="center"/>
        <w:rPr>
          <w:sz w:val="36"/>
          <w:szCs w:val="36"/>
        </w:rPr>
      </w:pPr>
      <w:r w:rsidRPr="00AB580E">
        <w:rPr>
          <w:sz w:val="36"/>
          <w:szCs w:val="36"/>
        </w:rPr>
        <w:t>Town of Smithfield</w:t>
      </w:r>
    </w:p>
    <w:p w14:paraId="0471AAD4" w14:textId="34A85987" w:rsidR="00AB580E" w:rsidRDefault="00AB580E" w:rsidP="00AB580E">
      <w:pPr>
        <w:jc w:val="center"/>
      </w:pPr>
      <w:r>
        <w:t xml:space="preserve"> Date Issued: </w:t>
      </w:r>
      <w:r w:rsidR="00094A2B">
        <w:t xml:space="preserve">January 18, </w:t>
      </w:r>
      <w:r>
        <w:t xml:space="preserve">2021 </w:t>
      </w:r>
    </w:p>
    <w:p w14:paraId="1799D5D1" w14:textId="77777777" w:rsidR="00AB580E" w:rsidRDefault="00AB580E" w:rsidP="00AB580E">
      <w:pPr>
        <w:jc w:val="center"/>
      </w:pPr>
    </w:p>
    <w:p w14:paraId="6C561BB7" w14:textId="4480ADD6" w:rsidR="00AB580E" w:rsidRPr="00AB580E" w:rsidRDefault="00AB580E" w:rsidP="00AB580E">
      <w:pPr>
        <w:jc w:val="center"/>
        <w:rPr>
          <w:b/>
          <w:bCs/>
          <w:sz w:val="32"/>
          <w:szCs w:val="32"/>
        </w:rPr>
      </w:pPr>
      <w:r w:rsidRPr="00AB580E">
        <w:rPr>
          <w:b/>
          <w:bCs/>
          <w:sz w:val="32"/>
          <w:szCs w:val="32"/>
        </w:rPr>
        <w:t xml:space="preserve">SOQ Submission Deadline: </w:t>
      </w:r>
    </w:p>
    <w:p w14:paraId="4FDDDC35" w14:textId="55109B9B" w:rsidR="00AB580E" w:rsidRPr="00AB580E" w:rsidRDefault="00AB580E" w:rsidP="00AB580E">
      <w:pPr>
        <w:jc w:val="center"/>
        <w:rPr>
          <w:sz w:val="32"/>
          <w:szCs w:val="32"/>
        </w:rPr>
      </w:pPr>
      <w:r w:rsidRPr="00AB580E">
        <w:rPr>
          <w:sz w:val="32"/>
          <w:szCs w:val="32"/>
        </w:rPr>
        <w:t xml:space="preserve">Friday, </w:t>
      </w:r>
      <w:r w:rsidR="00094A2B">
        <w:rPr>
          <w:sz w:val="32"/>
          <w:szCs w:val="32"/>
        </w:rPr>
        <w:t>February 19</w:t>
      </w:r>
      <w:r w:rsidR="00956F3A">
        <w:rPr>
          <w:sz w:val="32"/>
          <w:szCs w:val="32"/>
        </w:rPr>
        <w:t>,</w:t>
      </w:r>
      <w:r w:rsidR="00094A2B">
        <w:rPr>
          <w:sz w:val="32"/>
          <w:szCs w:val="32"/>
        </w:rPr>
        <w:t xml:space="preserve"> </w:t>
      </w:r>
      <w:r w:rsidR="00956F3A">
        <w:rPr>
          <w:sz w:val="32"/>
          <w:szCs w:val="32"/>
        </w:rPr>
        <w:t>2021</w:t>
      </w:r>
      <w:r w:rsidRPr="00AB580E">
        <w:rPr>
          <w:sz w:val="32"/>
          <w:szCs w:val="32"/>
        </w:rPr>
        <w:t xml:space="preserve">; 5:00 p.m. E.S.T </w:t>
      </w:r>
    </w:p>
    <w:p w14:paraId="2BC2AC60" w14:textId="77777777" w:rsidR="00AB580E" w:rsidRPr="00AB580E" w:rsidRDefault="00AB580E" w:rsidP="00AB580E">
      <w:pPr>
        <w:jc w:val="center"/>
        <w:rPr>
          <w:sz w:val="32"/>
          <w:szCs w:val="32"/>
        </w:rPr>
      </w:pPr>
    </w:p>
    <w:p w14:paraId="443ADE24" w14:textId="77777777" w:rsidR="00AB580E" w:rsidRPr="00AB580E" w:rsidRDefault="00AB580E" w:rsidP="00AB580E">
      <w:pPr>
        <w:jc w:val="center"/>
        <w:rPr>
          <w:b/>
          <w:bCs/>
          <w:sz w:val="32"/>
          <w:szCs w:val="32"/>
        </w:rPr>
      </w:pPr>
      <w:r w:rsidRPr="00AB580E">
        <w:rPr>
          <w:b/>
          <w:bCs/>
          <w:sz w:val="32"/>
          <w:szCs w:val="32"/>
        </w:rPr>
        <w:t>Submittal location:</w:t>
      </w:r>
    </w:p>
    <w:p w14:paraId="7F749604" w14:textId="5690DA12" w:rsidR="00AB580E" w:rsidRPr="00AB580E" w:rsidRDefault="00AB580E" w:rsidP="00AB580E">
      <w:pPr>
        <w:spacing w:after="0"/>
        <w:jc w:val="center"/>
        <w:rPr>
          <w:sz w:val="32"/>
          <w:szCs w:val="32"/>
        </w:rPr>
      </w:pPr>
      <w:r w:rsidRPr="00AB580E">
        <w:rPr>
          <w:sz w:val="32"/>
          <w:szCs w:val="32"/>
        </w:rPr>
        <w:t>Town of Smithfield</w:t>
      </w:r>
    </w:p>
    <w:p w14:paraId="0E0AD649" w14:textId="42E94CA8" w:rsidR="00AB580E" w:rsidRPr="00AB580E" w:rsidRDefault="00AB580E" w:rsidP="00AB580E">
      <w:pPr>
        <w:spacing w:after="0"/>
        <w:jc w:val="center"/>
        <w:rPr>
          <w:sz w:val="32"/>
          <w:szCs w:val="32"/>
        </w:rPr>
      </w:pPr>
      <w:r w:rsidRPr="00AB580E">
        <w:rPr>
          <w:sz w:val="32"/>
          <w:szCs w:val="32"/>
        </w:rPr>
        <w:t>350 East Market Street</w:t>
      </w:r>
    </w:p>
    <w:p w14:paraId="0B2EAF29" w14:textId="681480B4" w:rsidR="00AB580E" w:rsidRPr="00AB580E" w:rsidRDefault="00AB580E" w:rsidP="00AB580E">
      <w:pPr>
        <w:spacing w:after="0"/>
        <w:jc w:val="center"/>
        <w:rPr>
          <w:sz w:val="32"/>
          <w:szCs w:val="32"/>
        </w:rPr>
      </w:pPr>
      <w:r w:rsidRPr="00AB580E">
        <w:rPr>
          <w:sz w:val="32"/>
          <w:szCs w:val="32"/>
        </w:rPr>
        <w:t>P.O. Box 350</w:t>
      </w:r>
    </w:p>
    <w:p w14:paraId="759A57DF" w14:textId="7F41C0E7" w:rsidR="00AB580E" w:rsidRDefault="00AB580E" w:rsidP="00AB580E">
      <w:pPr>
        <w:spacing w:after="0"/>
        <w:jc w:val="center"/>
        <w:rPr>
          <w:sz w:val="32"/>
          <w:szCs w:val="32"/>
        </w:rPr>
      </w:pPr>
      <w:r w:rsidRPr="00AB580E">
        <w:rPr>
          <w:sz w:val="32"/>
          <w:szCs w:val="32"/>
        </w:rPr>
        <w:t>Smithfield, NC 27577</w:t>
      </w:r>
    </w:p>
    <w:p w14:paraId="18924C84" w14:textId="3F8E1B53" w:rsidR="00AB580E" w:rsidRDefault="00AB580E">
      <w:pPr>
        <w:rPr>
          <w:sz w:val="32"/>
          <w:szCs w:val="32"/>
        </w:rPr>
      </w:pPr>
      <w:r>
        <w:rPr>
          <w:sz w:val="32"/>
          <w:szCs w:val="32"/>
        </w:rPr>
        <w:br w:type="page"/>
      </w:r>
    </w:p>
    <w:p w14:paraId="06650737" w14:textId="70BCBEC7" w:rsidR="00592A18" w:rsidRPr="00592A18" w:rsidRDefault="00592A18" w:rsidP="00592A18">
      <w:pPr>
        <w:pStyle w:val="ListParagraph"/>
        <w:numPr>
          <w:ilvl w:val="0"/>
          <w:numId w:val="1"/>
        </w:numPr>
        <w:spacing w:after="240"/>
        <w:contextualSpacing w:val="0"/>
        <w:jc w:val="both"/>
        <w:rPr>
          <w:b/>
          <w:bCs/>
          <w:sz w:val="24"/>
          <w:szCs w:val="24"/>
        </w:rPr>
      </w:pPr>
      <w:r w:rsidRPr="00592A18">
        <w:rPr>
          <w:b/>
          <w:bCs/>
          <w:sz w:val="24"/>
          <w:szCs w:val="24"/>
        </w:rPr>
        <w:t xml:space="preserve">SUMMARY &amp; BACKGROUND </w:t>
      </w:r>
    </w:p>
    <w:p w14:paraId="41BF2884" w14:textId="77777777" w:rsidR="00BF3A68" w:rsidRDefault="00592A18" w:rsidP="00592A18">
      <w:pPr>
        <w:pStyle w:val="ListParagraph"/>
        <w:spacing w:after="0"/>
        <w:jc w:val="both"/>
      </w:pPr>
      <w:r>
        <w:t xml:space="preserve">The purpose of this request is to receive proposals from consulting firms experienced in impervious area analysis and evaluation of stormwater utility fees for stormwater programs for local governments. This effort is expected to be undertaken for use in equitably funding the Town’s efforts in managing the stormwater program. </w:t>
      </w:r>
    </w:p>
    <w:p w14:paraId="647ECE71" w14:textId="77777777" w:rsidR="00BF3A68" w:rsidRDefault="00BF3A68" w:rsidP="00592A18">
      <w:pPr>
        <w:pStyle w:val="ListParagraph"/>
        <w:spacing w:after="0"/>
        <w:jc w:val="both"/>
      </w:pPr>
    </w:p>
    <w:p w14:paraId="1F6C0DC6" w14:textId="5FFB4D9A" w:rsidR="00BF3A68" w:rsidRDefault="00BF3A68" w:rsidP="00BF3A68">
      <w:pPr>
        <w:pStyle w:val="ListParagraph"/>
        <w:spacing w:after="0"/>
        <w:jc w:val="both"/>
      </w:pPr>
      <w:r>
        <w:t xml:space="preserve">The Town of Smithfield is required by state law to develop and implement a stormwater program to comply with the State of North Carolina’s Neuse River Basin – Nutrient Sensitive Waters Management Strategy (NSWMS). The stormwater portion of this strategy is known as the Neuse Stormwater Rule (NSR). The Town’s stormwater program was effective February 1, 2001 and continues in force. </w:t>
      </w:r>
    </w:p>
    <w:p w14:paraId="1D78E335" w14:textId="77777777" w:rsidR="00BF3A68" w:rsidRDefault="00BF3A68" w:rsidP="00BF3A68">
      <w:pPr>
        <w:pStyle w:val="ListParagraph"/>
        <w:spacing w:after="0"/>
        <w:ind w:left="1440"/>
        <w:jc w:val="both"/>
      </w:pPr>
    </w:p>
    <w:p w14:paraId="2F925769" w14:textId="77777777" w:rsidR="00BF3A68" w:rsidRDefault="00BF3A68" w:rsidP="00BF3A68">
      <w:pPr>
        <w:pStyle w:val="ListParagraph"/>
        <w:spacing w:after="0"/>
        <w:jc w:val="both"/>
      </w:pPr>
      <w:r>
        <w:t>In a letter dated March 22, 2010, the NC Environmental Management Commission (EMC) notified</w:t>
      </w:r>
    </w:p>
    <w:p w14:paraId="5EA5FBBB" w14:textId="5609AC0E" w:rsidR="00BF3A68" w:rsidRDefault="00BF3A68" w:rsidP="00BF3A68">
      <w:pPr>
        <w:pStyle w:val="ListParagraph"/>
        <w:spacing w:after="0"/>
        <w:jc w:val="both"/>
      </w:pPr>
      <w:r>
        <w:t>Smithfield that it had considered the Town for inclusion in the National Pollutant Discharge Elimination System (NPDES), Phase II, and had determined not to include Smithfield at that time. The EMC may consider including Smithfield in the NPDES program in the future. It is expected that Smithfield will be re-considered for inclusion in the NPDES Ph II program when new population numbers are determined from the coming 2020 census.</w:t>
      </w:r>
    </w:p>
    <w:p w14:paraId="4C1A8361" w14:textId="302F0877" w:rsidR="00BF3A68" w:rsidRDefault="00BF3A68" w:rsidP="00BF3A68">
      <w:pPr>
        <w:pStyle w:val="ListParagraph"/>
        <w:spacing w:after="0"/>
        <w:jc w:val="both"/>
      </w:pPr>
    </w:p>
    <w:p w14:paraId="4D7F4C43" w14:textId="12CD202E" w:rsidR="00BF3A68" w:rsidRDefault="00BF3A68" w:rsidP="00BF3A68">
      <w:pPr>
        <w:pStyle w:val="ListParagraph"/>
        <w:spacing w:after="0"/>
        <w:jc w:val="both"/>
      </w:pPr>
      <w:r>
        <w:t>In February 2019, NC Department of Environmental Quality (NCDEQ) published notice that the EMC plans to revise the NSR program with revised rules to go into effect November 1, 2019. The rules have not gone into effect, but it is expected within the year.  The Proposed rule</w:t>
      </w:r>
    </w:p>
    <w:p w14:paraId="279D8DD1" w14:textId="77777777" w:rsidR="00BF3A68" w:rsidRDefault="00BF3A68" w:rsidP="00BF3A68">
      <w:pPr>
        <w:pStyle w:val="ListParagraph"/>
        <w:spacing w:after="0"/>
        <w:jc w:val="both"/>
      </w:pPr>
      <w:r>
        <w:t>changes include updates to the following aspects of the NSR program:</w:t>
      </w:r>
    </w:p>
    <w:p w14:paraId="62565ED8" w14:textId="49DFF96F" w:rsidR="00BF3A68" w:rsidRDefault="00BF3A68" w:rsidP="00BF3A68">
      <w:pPr>
        <w:pStyle w:val="ListParagraph"/>
        <w:numPr>
          <w:ilvl w:val="0"/>
          <w:numId w:val="7"/>
        </w:numPr>
        <w:spacing w:after="0"/>
        <w:jc w:val="both"/>
      </w:pPr>
      <w:r>
        <w:t>New development plan review and approval</w:t>
      </w:r>
    </w:p>
    <w:p w14:paraId="26816F18" w14:textId="154A016D" w:rsidR="00BF3A68" w:rsidRDefault="00BF3A68" w:rsidP="00BF3A68">
      <w:pPr>
        <w:pStyle w:val="ListParagraph"/>
        <w:numPr>
          <w:ilvl w:val="0"/>
          <w:numId w:val="7"/>
        </w:numPr>
        <w:spacing w:after="0"/>
        <w:jc w:val="both"/>
      </w:pPr>
      <w:r>
        <w:t>Stormwater control measure (SCM) maintenance</w:t>
      </w:r>
    </w:p>
    <w:p w14:paraId="4E8FB167" w14:textId="53255D62" w:rsidR="00BF3A68" w:rsidRDefault="00BF3A68" w:rsidP="00BF3A68">
      <w:pPr>
        <w:pStyle w:val="ListParagraph"/>
        <w:numPr>
          <w:ilvl w:val="0"/>
          <w:numId w:val="7"/>
        </w:numPr>
        <w:spacing w:after="0"/>
        <w:jc w:val="both"/>
      </w:pPr>
      <w:r>
        <w:t>Rule enforcement procedures</w:t>
      </w:r>
    </w:p>
    <w:p w14:paraId="79959368" w14:textId="5B7C4793" w:rsidR="00BF3A68" w:rsidRDefault="00BF3A68" w:rsidP="00BF3A68">
      <w:pPr>
        <w:pStyle w:val="ListParagraph"/>
        <w:numPr>
          <w:ilvl w:val="0"/>
          <w:numId w:val="7"/>
        </w:numPr>
        <w:spacing w:after="0"/>
        <w:jc w:val="both"/>
      </w:pPr>
      <w:r>
        <w:t>Public education</w:t>
      </w:r>
    </w:p>
    <w:p w14:paraId="7A44F88F" w14:textId="49D2BD79" w:rsidR="00BF3A68" w:rsidRDefault="00BF3A68" w:rsidP="00BF3A68">
      <w:pPr>
        <w:pStyle w:val="ListParagraph"/>
        <w:numPr>
          <w:ilvl w:val="0"/>
          <w:numId w:val="7"/>
        </w:numPr>
        <w:spacing w:after="0"/>
        <w:jc w:val="both"/>
      </w:pPr>
      <w:r>
        <w:t>Storm sewer system mapping</w:t>
      </w:r>
    </w:p>
    <w:p w14:paraId="17648A1C" w14:textId="4FC1B605" w:rsidR="00BF3A68" w:rsidRDefault="00BF3A68" w:rsidP="00BF3A68">
      <w:pPr>
        <w:pStyle w:val="ListParagraph"/>
        <w:numPr>
          <w:ilvl w:val="0"/>
          <w:numId w:val="7"/>
        </w:numPr>
        <w:spacing w:after="0"/>
        <w:jc w:val="both"/>
      </w:pPr>
      <w:r>
        <w:t>Illegal discharge removal</w:t>
      </w:r>
      <w:r>
        <w:cr/>
      </w:r>
    </w:p>
    <w:p w14:paraId="49BB21E8" w14:textId="27AD91F3" w:rsidR="00AB580E" w:rsidRDefault="00BF3A68" w:rsidP="00592A18">
      <w:pPr>
        <w:pStyle w:val="ListParagraph"/>
        <w:spacing w:after="0"/>
        <w:jc w:val="both"/>
      </w:pPr>
      <w:r>
        <w:t xml:space="preserve">The Town’s current stormwater system maintenance program in Smithfield may be described as reactive and comparable to similar-sized municipal programs in North Carolina that are funded by the general fund. A more robust program is desired and will require a dedicated funding stream.  Therefore, the Town </w:t>
      </w:r>
      <w:r w:rsidR="00592A18" w:rsidRPr="00BF3A68">
        <w:t>of Smithfield is interested in implementing a local stormwater utility fee on all developed property within the town</w:t>
      </w:r>
      <w:r w:rsidR="006F4D51" w:rsidRPr="00BF3A68">
        <w:t xml:space="preserve"> based on impervious surfaces</w:t>
      </w:r>
      <w:r w:rsidR="00592A18" w:rsidRPr="00BF3A68">
        <w:t>.</w:t>
      </w:r>
      <w:r w:rsidR="00592A18">
        <w:t xml:space="preserve"> </w:t>
      </w:r>
    </w:p>
    <w:p w14:paraId="2AC7AD2E" w14:textId="494B954D" w:rsidR="006F4D51" w:rsidRPr="00087C43" w:rsidRDefault="006F4D51" w:rsidP="00592A18">
      <w:pPr>
        <w:pStyle w:val="ListParagraph"/>
        <w:spacing w:after="0"/>
        <w:jc w:val="both"/>
        <w:rPr>
          <w:rFonts w:cstheme="minorHAnsi"/>
        </w:rPr>
      </w:pPr>
    </w:p>
    <w:p w14:paraId="05972CCF" w14:textId="77777777" w:rsidR="006F4D51" w:rsidRPr="00087C43" w:rsidRDefault="006F4D51" w:rsidP="006F4D51">
      <w:pPr>
        <w:pStyle w:val="ListParagraph"/>
        <w:numPr>
          <w:ilvl w:val="0"/>
          <w:numId w:val="1"/>
        </w:numPr>
        <w:spacing w:after="240"/>
        <w:contextualSpacing w:val="0"/>
        <w:jc w:val="both"/>
        <w:rPr>
          <w:rFonts w:cstheme="minorHAnsi"/>
          <w:sz w:val="32"/>
          <w:szCs w:val="32"/>
        </w:rPr>
      </w:pPr>
      <w:r w:rsidRPr="00087C43">
        <w:rPr>
          <w:rFonts w:cstheme="minorHAnsi"/>
          <w:b/>
          <w:bCs/>
          <w:sz w:val="24"/>
          <w:szCs w:val="24"/>
        </w:rPr>
        <w:t>SCOPE OF SERVICES</w:t>
      </w:r>
    </w:p>
    <w:p w14:paraId="49A8CC7A" w14:textId="247F69E4" w:rsidR="006F4D51" w:rsidRPr="006F4D51" w:rsidRDefault="006F4D51" w:rsidP="006F4D51">
      <w:pPr>
        <w:pStyle w:val="ListParagraph"/>
        <w:spacing w:after="0"/>
        <w:jc w:val="both"/>
      </w:pPr>
      <w:r w:rsidRPr="006F4D51">
        <w:t>The consultant shall review and evaluate existing GIS data and utilize this information to determine</w:t>
      </w:r>
      <w:r>
        <w:t xml:space="preserve"> </w:t>
      </w:r>
      <w:r w:rsidRPr="006F4D51">
        <w:t>impervious area by parcel for the support of a recommended rate structure.</w:t>
      </w:r>
    </w:p>
    <w:p w14:paraId="050B1AAD" w14:textId="77777777" w:rsidR="006F4D51" w:rsidRDefault="006F4D51" w:rsidP="006F4D51">
      <w:pPr>
        <w:pStyle w:val="ListParagraph"/>
        <w:spacing w:after="0"/>
        <w:jc w:val="both"/>
      </w:pPr>
    </w:p>
    <w:p w14:paraId="73AB91C5" w14:textId="558624A9" w:rsidR="006F4D51" w:rsidRDefault="006F4D51" w:rsidP="006F4D51">
      <w:pPr>
        <w:pStyle w:val="ListParagraph"/>
        <w:spacing w:after="120"/>
        <w:ind w:firstLine="360"/>
        <w:contextualSpacing w:val="0"/>
        <w:jc w:val="both"/>
      </w:pPr>
      <w:r w:rsidRPr="006F4D51">
        <w:t>Impervious Area Analysis:</w:t>
      </w:r>
    </w:p>
    <w:p w14:paraId="4E57926C" w14:textId="22C69E44" w:rsidR="006F4D51" w:rsidRDefault="006F4D51" w:rsidP="006F4D51">
      <w:pPr>
        <w:pStyle w:val="ListParagraph"/>
        <w:numPr>
          <w:ilvl w:val="1"/>
          <w:numId w:val="2"/>
        </w:numPr>
        <w:spacing w:after="0"/>
        <w:ind w:left="1710"/>
        <w:jc w:val="both"/>
      </w:pPr>
      <w:r>
        <w:t>Utilize parcel data (residential, multi-family, office-institutional, commercial, and industrial), planimetric data and the most recent orthophotography data throughout the Town to create a dataset of impervious surfaces in the Town.</w:t>
      </w:r>
    </w:p>
    <w:p w14:paraId="7D2D71DA" w14:textId="289FDFFA" w:rsidR="006F4D51" w:rsidRDefault="006F4D51" w:rsidP="006F4D51">
      <w:pPr>
        <w:pStyle w:val="ListParagraph"/>
        <w:numPr>
          <w:ilvl w:val="1"/>
          <w:numId w:val="2"/>
        </w:numPr>
        <w:spacing w:after="0"/>
        <w:ind w:left="1710"/>
        <w:jc w:val="both"/>
      </w:pPr>
      <w:r>
        <w:t>Based on the created impervious surface dataset, calculate a recommended “Equivalent Residential Unit” (ERU), which is the amount of square footage of impervious area associated with an average residential parcel.</w:t>
      </w:r>
    </w:p>
    <w:p w14:paraId="16393C71" w14:textId="18602F9F" w:rsidR="006F4D51" w:rsidRDefault="006F4D51" w:rsidP="006F4D51">
      <w:pPr>
        <w:pStyle w:val="ListParagraph"/>
        <w:numPr>
          <w:ilvl w:val="1"/>
          <w:numId w:val="2"/>
        </w:numPr>
        <w:spacing w:after="0"/>
        <w:ind w:left="1710"/>
        <w:jc w:val="both"/>
      </w:pPr>
      <w:r>
        <w:t>Perform Quality Control (QC) to exclude public impervious areas such as public streets, sidewalks, and greenways from the calculation and ensure visual accuracy of parcel boundary information during the analysis.</w:t>
      </w:r>
    </w:p>
    <w:p w14:paraId="59BE38ED" w14:textId="77777777" w:rsidR="006F4D51" w:rsidRDefault="006F4D51" w:rsidP="006F4D51">
      <w:pPr>
        <w:pStyle w:val="ListParagraph"/>
        <w:spacing w:after="0"/>
        <w:jc w:val="both"/>
      </w:pPr>
    </w:p>
    <w:p w14:paraId="21F797A6" w14:textId="5D6E8548" w:rsidR="006F4D51" w:rsidRPr="006F4D51" w:rsidRDefault="006F4D51" w:rsidP="006F4D51">
      <w:pPr>
        <w:pStyle w:val="ListParagraph"/>
        <w:numPr>
          <w:ilvl w:val="0"/>
          <w:numId w:val="1"/>
        </w:numPr>
        <w:spacing w:after="240"/>
        <w:contextualSpacing w:val="0"/>
        <w:jc w:val="both"/>
        <w:rPr>
          <w:b/>
          <w:bCs/>
          <w:sz w:val="24"/>
          <w:szCs w:val="24"/>
        </w:rPr>
      </w:pPr>
      <w:r w:rsidRPr="006F4D51">
        <w:rPr>
          <w:b/>
          <w:bCs/>
          <w:sz w:val="24"/>
          <w:szCs w:val="24"/>
        </w:rPr>
        <w:t>DELIVERABLES</w:t>
      </w:r>
    </w:p>
    <w:p w14:paraId="10FE2B33" w14:textId="77777777" w:rsidR="00087C43" w:rsidRDefault="006F4D51" w:rsidP="006F4D51">
      <w:pPr>
        <w:pStyle w:val="ListParagraph"/>
        <w:numPr>
          <w:ilvl w:val="1"/>
          <w:numId w:val="1"/>
        </w:numPr>
        <w:spacing w:after="0"/>
        <w:ind w:left="1800"/>
        <w:jc w:val="both"/>
      </w:pPr>
      <w:r w:rsidRPr="006F4D51">
        <w:t>Impervious Area Analysis:</w:t>
      </w:r>
    </w:p>
    <w:p w14:paraId="1EB1B696" w14:textId="77777777" w:rsidR="00087C43" w:rsidRDefault="006F4D51" w:rsidP="006F4D51">
      <w:pPr>
        <w:pStyle w:val="ListParagraph"/>
        <w:numPr>
          <w:ilvl w:val="2"/>
          <w:numId w:val="1"/>
        </w:numPr>
        <w:spacing w:after="0"/>
        <w:jc w:val="both"/>
      </w:pPr>
      <w:r w:rsidRPr="006F4D51">
        <w:t xml:space="preserve">GIS dataset of impervious area by parcel within the </w:t>
      </w:r>
      <w:r w:rsidR="00087C43">
        <w:t>Town of Smithfield</w:t>
      </w:r>
      <w:r w:rsidRPr="006F4D51">
        <w:t xml:space="preserve"> with</w:t>
      </w:r>
      <w:r w:rsidR="00087C43">
        <w:t xml:space="preserve"> </w:t>
      </w:r>
      <w:r w:rsidRPr="006F4D51">
        <w:t xml:space="preserve">parcels identified as residential, </w:t>
      </w:r>
      <w:proofErr w:type="gramStart"/>
      <w:r w:rsidRPr="006F4D51">
        <w:t>non-residential</w:t>
      </w:r>
      <w:proofErr w:type="gramEnd"/>
      <w:r w:rsidRPr="006F4D51">
        <w:t xml:space="preserve"> and non-billable.</w:t>
      </w:r>
    </w:p>
    <w:p w14:paraId="66862108" w14:textId="374C540F" w:rsidR="006F4D51" w:rsidRPr="006F4D51" w:rsidRDefault="006F4D51" w:rsidP="006F4D51">
      <w:pPr>
        <w:pStyle w:val="ListParagraph"/>
        <w:numPr>
          <w:ilvl w:val="2"/>
          <w:numId w:val="1"/>
        </w:numPr>
        <w:spacing w:after="0"/>
        <w:jc w:val="both"/>
      </w:pPr>
      <w:r w:rsidRPr="006F4D51">
        <w:t>Recommendations for updating and maintaining GIS impervious layer after</w:t>
      </w:r>
      <w:r w:rsidR="00087C43">
        <w:t xml:space="preserve"> </w:t>
      </w:r>
      <w:r w:rsidRPr="006F4D51">
        <w:t>creation.</w:t>
      </w:r>
    </w:p>
    <w:p w14:paraId="7742BA35" w14:textId="65A05968" w:rsidR="006F4D51" w:rsidRPr="006F4D51" w:rsidRDefault="006F4D51" w:rsidP="00087C43">
      <w:pPr>
        <w:pStyle w:val="ListParagraph"/>
        <w:numPr>
          <w:ilvl w:val="1"/>
          <w:numId w:val="1"/>
        </w:numPr>
        <w:spacing w:after="0"/>
        <w:ind w:left="1800"/>
        <w:jc w:val="both"/>
      </w:pPr>
      <w:r w:rsidRPr="006F4D51">
        <w:t>Final Study Report</w:t>
      </w:r>
    </w:p>
    <w:p w14:paraId="55EE8255" w14:textId="78798438" w:rsidR="006F4D51" w:rsidRPr="006F4D51" w:rsidRDefault="006F4D51" w:rsidP="00087C43">
      <w:pPr>
        <w:pStyle w:val="ListParagraph"/>
        <w:numPr>
          <w:ilvl w:val="2"/>
          <w:numId w:val="1"/>
        </w:numPr>
        <w:spacing w:after="0"/>
        <w:jc w:val="both"/>
      </w:pPr>
      <w:r w:rsidRPr="006F4D51">
        <w:t>Include findings from the impervious area analysis.</w:t>
      </w:r>
    </w:p>
    <w:p w14:paraId="454A214D" w14:textId="1FD7BEA4" w:rsidR="006F4D51" w:rsidRDefault="006F4D51" w:rsidP="00087C43">
      <w:pPr>
        <w:pStyle w:val="ListParagraph"/>
        <w:numPr>
          <w:ilvl w:val="2"/>
          <w:numId w:val="1"/>
        </w:numPr>
        <w:spacing w:after="0"/>
        <w:jc w:val="both"/>
      </w:pPr>
      <w:r w:rsidRPr="006F4D51">
        <w:t>Property owner impact analysis results.</w:t>
      </w:r>
      <w:r w:rsidRPr="006F4D51">
        <w:cr/>
      </w:r>
    </w:p>
    <w:p w14:paraId="32B96E8C" w14:textId="616F7B0A" w:rsidR="00087C43" w:rsidRDefault="00087C43" w:rsidP="00087C43">
      <w:pPr>
        <w:pStyle w:val="ListParagraph"/>
        <w:numPr>
          <w:ilvl w:val="0"/>
          <w:numId w:val="1"/>
        </w:numPr>
        <w:spacing w:after="240"/>
        <w:contextualSpacing w:val="0"/>
        <w:jc w:val="both"/>
        <w:rPr>
          <w:b/>
          <w:bCs/>
          <w:sz w:val="24"/>
          <w:szCs w:val="24"/>
        </w:rPr>
      </w:pPr>
      <w:r w:rsidRPr="00087C43">
        <w:rPr>
          <w:b/>
          <w:bCs/>
          <w:sz w:val="24"/>
          <w:szCs w:val="24"/>
        </w:rPr>
        <w:t>RFQ SCHEDULE</w:t>
      </w:r>
    </w:p>
    <w:tbl>
      <w:tblPr>
        <w:tblStyle w:val="TableGrid"/>
        <w:tblW w:w="0" w:type="auto"/>
        <w:tblInd w:w="720" w:type="dxa"/>
        <w:tblLook w:val="04A0" w:firstRow="1" w:lastRow="0" w:firstColumn="1" w:lastColumn="0" w:noHBand="0" w:noVBand="1"/>
      </w:tblPr>
      <w:tblGrid>
        <w:gridCol w:w="4326"/>
        <w:gridCol w:w="4304"/>
      </w:tblGrid>
      <w:tr w:rsidR="00087C43" w:rsidRPr="00087C43" w14:paraId="38E57960" w14:textId="77777777" w:rsidTr="00087C43">
        <w:trPr>
          <w:trHeight w:val="458"/>
        </w:trPr>
        <w:tc>
          <w:tcPr>
            <w:tcW w:w="4675" w:type="dxa"/>
          </w:tcPr>
          <w:p w14:paraId="47CCBA5D" w14:textId="24164EAE" w:rsidR="00087C43" w:rsidRPr="00087C43" w:rsidRDefault="00087C43" w:rsidP="00087C43">
            <w:pPr>
              <w:pStyle w:val="ListParagraph"/>
              <w:spacing w:after="240"/>
              <w:ind w:left="0"/>
              <w:contextualSpacing w:val="0"/>
            </w:pPr>
            <w:r w:rsidRPr="00087C43">
              <w:t>Release RFQ</w:t>
            </w:r>
          </w:p>
        </w:tc>
        <w:tc>
          <w:tcPr>
            <w:tcW w:w="4675" w:type="dxa"/>
          </w:tcPr>
          <w:p w14:paraId="14165C74" w14:textId="2B040B90" w:rsidR="00087C43" w:rsidRPr="00087C43" w:rsidRDefault="002108AC" w:rsidP="00087C43">
            <w:pPr>
              <w:pStyle w:val="ListParagraph"/>
              <w:spacing w:after="240"/>
              <w:ind w:left="0"/>
              <w:contextualSpacing w:val="0"/>
            </w:pPr>
            <w:r>
              <w:t>January 18, 2021</w:t>
            </w:r>
          </w:p>
        </w:tc>
      </w:tr>
      <w:tr w:rsidR="00087C43" w:rsidRPr="00087C43" w14:paraId="125BBD63" w14:textId="77777777" w:rsidTr="00087C43">
        <w:trPr>
          <w:trHeight w:val="360"/>
        </w:trPr>
        <w:tc>
          <w:tcPr>
            <w:tcW w:w="4675" w:type="dxa"/>
          </w:tcPr>
          <w:p w14:paraId="566E2A4C" w14:textId="31DE122B" w:rsidR="00087C43" w:rsidRPr="00087C43" w:rsidRDefault="00087C43" w:rsidP="00087C43">
            <w:pPr>
              <w:pStyle w:val="ListParagraph"/>
              <w:spacing w:after="240"/>
              <w:ind w:left="0"/>
              <w:contextualSpacing w:val="0"/>
            </w:pPr>
            <w:r w:rsidRPr="00087C43">
              <w:t>Deadline for Questions</w:t>
            </w:r>
          </w:p>
        </w:tc>
        <w:tc>
          <w:tcPr>
            <w:tcW w:w="4675" w:type="dxa"/>
          </w:tcPr>
          <w:p w14:paraId="5B5977F4" w14:textId="68FD7B0B" w:rsidR="00087C43" w:rsidRPr="00087C43" w:rsidRDefault="002108AC" w:rsidP="00087C43">
            <w:pPr>
              <w:pStyle w:val="ListParagraph"/>
              <w:spacing w:after="240"/>
              <w:ind w:left="0"/>
              <w:contextualSpacing w:val="0"/>
            </w:pPr>
            <w:r>
              <w:t>February 8, 2021</w:t>
            </w:r>
          </w:p>
        </w:tc>
      </w:tr>
      <w:tr w:rsidR="00087C43" w:rsidRPr="00087C43" w14:paraId="0FB87FB0" w14:textId="77777777" w:rsidTr="00087C43">
        <w:trPr>
          <w:trHeight w:val="360"/>
        </w:trPr>
        <w:tc>
          <w:tcPr>
            <w:tcW w:w="4675" w:type="dxa"/>
          </w:tcPr>
          <w:p w14:paraId="647D2819" w14:textId="54C20246" w:rsidR="00087C43" w:rsidRPr="00087C43" w:rsidRDefault="00087C43" w:rsidP="00087C43">
            <w:pPr>
              <w:pStyle w:val="ListParagraph"/>
              <w:spacing w:after="240"/>
              <w:ind w:left="0"/>
              <w:contextualSpacing w:val="0"/>
            </w:pPr>
            <w:r w:rsidRPr="00087C43">
              <w:t>SOQ Submission Deadline</w:t>
            </w:r>
          </w:p>
        </w:tc>
        <w:tc>
          <w:tcPr>
            <w:tcW w:w="4675" w:type="dxa"/>
          </w:tcPr>
          <w:p w14:paraId="30783C92" w14:textId="155EB9BE" w:rsidR="00087C43" w:rsidRPr="00087C43" w:rsidRDefault="002108AC" w:rsidP="00087C43">
            <w:pPr>
              <w:pStyle w:val="ListParagraph"/>
              <w:spacing w:after="240"/>
              <w:ind w:left="0"/>
              <w:contextualSpacing w:val="0"/>
            </w:pPr>
            <w:r w:rsidRPr="002108AC">
              <w:t>February 19, 2021</w:t>
            </w:r>
          </w:p>
        </w:tc>
      </w:tr>
      <w:tr w:rsidR="00087C43" w:rsidRPr="00087C43" w14:paraId="48FC9287" w14:textId="77777777" w:rsidTr="00087C43">
        <w:trPr>
          <w:trHeight w:val="360"/>
        </w:trPr>
        <w:tc>
          <w:tcPr>
            <w:tcW w:w="4675" w:type="dxa"/>
          </w:tcPr>
          <w:p w14:paraId="340743D4" w14:textId="07D6D192" w:rsidR="00087C43" w:rsidRPr="00087C43" w:rsidRDefault="00087C43" w:rsidP="00087C43">
            <w:pPr>
              <w:pStyle w:val="ListParagraph"/>
              <w:spacing w:after="240"/>
              <w:ind w:left="0"/>
              <w:contextualSpacing w:val="0"/>
            </w:pPr>
            <w:r w:rsidRPr="00087C43">
              <w:t>Finalist Interviews (</w:t>
            </w:r>
            <w:r w:rsidR="002108AC">
              <w:t xml:space="preserve">tentative - </w:t>
            </w:r>
            <w:r w:rsidRPr="00087C43">
              <w:t>to be conducted virtually)</w:t>
            </w:r>
          </w:p>
        </w:tc>
        <w:tc>
          <w:tcPr>
            <w:tcW w:w="4675" w:type="dxa"/>
          </w:tcPr>
          <w:p w14:paraId="15C1DB09" w14:textId="66428A4A" w:rsidR="00087C43" w:rsidRPr="00087C43" w:rsidRDefault="002108AC" w:rsidP="00087C43">
            <w:pPr>
              <w:pStyle w:val="ListParagraph"/>
              <w:spacing w:after="240"/>
              <w:ind w:left="0"/>
              <w:contextualSpacing w:val="0"/>
            </w:pPr>
            <w:r>
              <w:t>TBD</w:t>
            </w:r>
          </w:p>
        </w:tc>
      </w:tr>
      <w:tr w:rsidR="00087C43" w:rsidRPr="00087C43" w14:paraId="598BF564" w14:textId="77777777" w:rsidTr="00087C43">
        <w:trPr>
          <w:trHeight w:val="422"/>
        </w:trPr>
        <w:tc>
          <w:tcPr>
            <w:tcW w:w="4675" w:type="dxa"/>
          </w:tcPr>
          <w:p w14:paraId="1C8E2FF8" w14:textId="3E83F9EA" w:rsidR="00087C43" w:rsidRPr="00087C43" w:rsidRDefault="00087C43" w:rsidP="00087C43">
            <w:pPr>
              <w:pStyle w:val="ListParagraph"/>
              <w:spacing w:after="240"/>
              <w:ind w:left="0"/>
              <w:contextualSpacing w:val="0"/>
            </w:pPr>
            <w:r w:rsidRPr="00087C43">
              <w:t>Selection of Firm (tentative)</w:t>
            </w:r>
          </w:p>
        </w:tc>
        <w:tc>
          <w:tcPr>
            <w:tcW w:w="4675" w:type="dxa"/>
          </w:tcPr>
          <w:p w14:paraId="15D2F84A" w14:textId="7CF21980" w:rsidR="00087C43" w:rsidRPr="00087C43" w:rsidRDefault="002108AC" w:rsidP="00087C43">
            <w:pPr>
              <w:pStyle w:val="ListParagraph"/>
              <w:spacing w:after="240"/>
              <w:ind w:left="0"/>
              <w:contextualSpacing w:val="0"/>
            </w:pPr>
            <w:r>
              <w:t>March 2, 2021</w:t>
            </w:r>
          </w:p>
        </w:tc>
      </w:tr>
      <w:tr w:rsidR="00087C43" w:rsidRPr="00087C43" w14:paraId="064C1AE7" w14:textId="77777777" w:rsidTr="00087C43">
        <w:trPr>
          <w:trHeight w:val="593"/>
        </w:trPr>
        <w:tc>
          <w:tcPr>
            <w:tcW w:w="4675" w:type="dxa"/>
          </w:tcPr>
          <w:p w14:paraId="6951D43E" w14:textId="16FBEF38" w:rsidR="00087C43" w:rsidRPr="00087C43" w:rsidRDefault="00087C43" w:rsidP="00087C43">
            <w:pPr>
              <w:pStyle w:val="ListParagraph"/>
              <w:spacing w:after="240"/>
              <w:ind w:left="0"/>
              <w:contextualSpacing w:val="0"/>
            </w:pPr>
            <w:r w:rsidRPr="00087C43">
              <w:t>Contract Award by Town Council (tentative)</w:t>
            </w:r>
          </w:p>
        </w:tc>
        <w:tc>
          <w:tcPr>
            <w:tcW w:w="4675" w:type="dxa"/>
          </w:tcPr>
          <w:p w14:paraId="03484357" w14:textId="210E90D6" w:rsidR="00087C43" w:rsidRPr="00087C43" w:rsidRDefault="002108AC" w:rsidP="00087C43">
            <w:pPr>
              <w:pStyle w:val="ListParagraph"/>
              <w:spacing w:after="240"/>
              <w:ind w:left="0"/>
              <w:contextualSpacing w:val="0"/>
            </w:pPr>
            <w:r>
              <w:t>April 6, 2021</w:t>
            </w:r>
          </w:p>
        </w:tc>
      </w:tr>
    </w:tbl>
    <w:p w14:paraId="0CD0234D" w14:textId="21537A7F" w:rsidR="00087C43" w:rsidRDefault="00087C43" w:rsidP="00087C43">
      <w:pPr>
        <w:pStyle w:val="ListParagraph"/>
        <w:spacing w:after="240"/>
        <w:contextualSpacing w:val="0"/>
        <w:jc w:val="both"/>
        <w:rPr>
          <w:sz w:val="24"/>
          <w:szCs w:val="24"/>
        </w:rPr>
      </w:pPr>
    </w:p>
    <w:p w14:paraId="1A8F1DA6" w14:textId="24B52C0E" w:rsidR="00087C43" w:rsidRDefault="00087C43" w:rsidP="00087C43">
      <w:pPr>
        <w:pStyle w:val="ListParagraph"/>
        <w:numPr>
          <w:ilvl w:val="0"/>
          <w:numId w:val="1"/>
        </w:numPr>
        <w:spacing w:after="240"/>
        <w:contextualSpacing w:val="0"/>
        <w:jc w:val="both"/>
        <w:rPr>
          <w:b/>
          <w:bCs/>
          <w:sz w:val="24"/>
          <w:szCs w:val="24"/>
        </w:rPr>
      </w:pPr>
      <w:r w:rsidRPr="00087C43">
        <w:rPr>
          <w:b/>
          <w:bCs/>
          <w:sz w:val="24"/>
          <w:szCs w:val="24"/>
        </w:rPr>
        <w:t>SOQ CONTENT</w:t>
      </w:r>
    </w:p>
    <w:p w14:paraId="5567CEB4" w14:textId="212928DE" w:rsidR="00087C43" w:rsidRDefault="00940D34" w:rsidP="00940D34">
      <w:pPr>
        <w:pStyle w:val="ListParagraph"/>
        <w:spacing w:after="0"/>
        <w:jc w:val="both"/>
      </w:pPr>
      <w:r w:rsidRPr="00940D34">
        <w:t xml:space="preserve">Interested firms shall submit </w:t>
      </w:r>
      <w:r>
        <w:t>electronically by</w:t>
      </w:r>
      <w:r w:rsidRPr="00940D34">
        <w:t xml:space="preserve"> PDF delivered electronically to </w:t>
      </w:r>
      <w:r>
        <w:t>Stephen Wensman, Planning Director (</w:t>
      </w:r>
      <w:hyperlink r:id="rId8" w:history="1">
        <w:r w:rsidRPr="005062F8">
          <w:rPr>
            <w:rStyle w:val="Hyperlink"/>
          </w:rPr>
          <w:t>Stephen.wensman@smithfield-nc.com</w:t>
        </w:r>
      </w:hyperlink>
      <w:r>
        <w:t>). SOQs must be limited to 25 pages excluding cover page, cover letter, table of contents, resumes and section dividers.</w:t>
      </w:r>
    </w:p>
    <w:p w14:paraId="431193C1" w14:textId="145E3B6B" w:rsidR="00940D34" w:rsidRDefault="00940D34" w:rsidP="00940D34">
      <w:pPr>
        <w:pStyle w:val="ListParagraph"/>
        <w:spacing w:after="0"/>
        <w:jc w:val="both"/>
      </w:pPr>
    </w:p>
    <w:p w14:paraId="5CA4CAF2" w14:textId="77777777" w:rsidR="00940D34" w:rsidRDefault="00940D34" w:rsidP="00940D34">
      <w:pPr>
        <w:pStyle w:val="ListParagraph"/>
        <w:spacing w:after="0"/>
        <w:jc w:val="both"/>
      </w:pPr>
      <w:r>
        <w:t>SOQs should be delivered no later than the date and time listed in the RFQ SCHEDULE and shall</w:t>
      </w:r>
    </w:p>
    <w:p w14:paraId="7E1A2559" w14:textId="5092C0A8" w:rsidR="00940D34" w:rsidRDefault="00940D34" w:rsidP="00940D34">
      <w:pPr>
        <w:pStyle w:val="ListParagraph"/>
        <w:spacing w:after="0"/>
        <w:jc w:val="both"/>
      </w:pPr>
      <w:r>
        <w:t>contain at a minimum the following items:</w:t>
      </w:r>
    </w:p>
    <w:p w14:paraId="28F5C646" w14:textId="77777777" w:rsidR="00B11D98" w:rsidRDefault="00B11D98" w:rsidP="00940D34">
      <w:pPr>
        <w:pStyle w:val="ListParagraph"/>
        <w:spacing w:after="0"/>
        <w:jc w:val="both"/>
      </w:pPr>
    </w:p>
    <w:p w14:paraId="7629940B" w14:textId="77777777" w:rsidR="00B11D98" w:rsidRDefault="00940D34" w:rsidP="00B11D98">
      <w:pPr>
        <w:pStyle w:val="ListParagraph"/>
        <w:numPr>
          <w:ilvl w:val="0"/>
          <w:numId w:val="5"/>
        </w:numPr>
        <w:spacing w:after="0"/>
        <w:jc w:val="both"/>
      </w:pPr>
      <w:r>
        <w:t xml:space="preserve">Cover Sheet (Attachment A) </w:t>
      </w:r>
    </w:p>
    <w:p w14:paraId="7431DD1F" w14:textId="75D48CC7" w:rsidR="00940D34" w:rsidRDefault="00940D34" w:rsidP="00B11D98">
      <w:pPr>
        <w:pStyle w:val="ListParagraph"/>
        <w:numPr>
          <w:ilvl w:val="0"/>
          <w:numId w:val="5"/>
        </w:numPr>
        <w:spacing w:after="0"/>
        <w:jc w:val="both"/>
      </w:pPr>
      <w:r>
        <w:t>Description of Services, Background and Staff</w:t>
      </w:r>
    </w:p>
    <w:p w14:paraId="5D4A0088" w14:textId="77777777" w:rsidR="00940D34" w:rsidRDefault="00940D34" w:rsidP="00B11D98">
      <w:pPr>
        <w:pStyle w:val="ListParagraph"/>
        <w:numPr>
          <w:ilvl w:val="1"/>
          <w:numId w:val="1"/>
        </w:numPr>
        <w:spacing w:after="0"/>
        <w:ind w:left="1800"/>
        <w:jc w:val="both"/>
      </w:pPr>
      <w:r>
        <w:t>Services</w:t>
      </w:r>
    </w:p>
    <w:p w14:paraId="0B10D10B" w14:textId="77777777" w:rsidR="00940D34" w:rsidRDefault="00940D34" w:rsidP="00940D34">
      <w:pPr>
        <w:pStyle w:val="ListParagraph"/>
        <w:numPr>
          <w:ilvl w:val="2"/>
          <w:numId w:val="1"/>
        </w:numPr>
        <w:spacing w:after="0"/>
        <w:jc w:val="both"/>
      </w:pPr>
      <w:r>
        <w:t>Summarize the scope of services (GIS, Design, Surveying, Construction, Monitoring, Reporting, etc.) from your firm.</w:t>
      </w:r>
    </w:p>
    <w:p w14:paraId="0F727388" w14:textId="77777777" w:rsidR="00940D34" w:rsidRDefault="00940D34" w:rsidP="00940D34">
      <w:pPr>
        <w:pStyle w:val="ListParagraph"/>
        <w:numPr>
          <w:ilvl w:val="2"/>
          <w:numId w:val="1"/>
        </w:numPr>
        <w:spacing w:after="0"/>
        <w:jc w:val="both"/>
      </w:pPr>
      <w:r>
        <w:t>Describe your general approach to evaluating impervious area for the purpose of a stormwater fee evaluation. How will the Town staff be involved in this process?</w:t>
      </w:r>
    </w:p>
    <w:p w14:paraId="64A35C67" w14:textId="77777777" w:rsidR="00940D34" w:rsidRPr="00743998" w:rsidRDefault="00940D34" w:rsidP="00940D34">
      <w:pPr>
        <w:pStyle w:val="ListParagraph"/>
        <w:numPr>
          <w:ilvl w:val="2"/>
          <w:numId w:val="1"/>
        </w:numPr>
        <w:spacing w:after="0"/>
        <w:jc w:val="both"/>
      </w:pPr>
      <w:r w:rsidRPr="00743998">
        <w:t>What resources and information will be needed from the Town?</w:t>
      </w:r>
    </w:p>
    <w:p w14:paraId="3AC8D07D" w14:textId="77777777" w:rsidR="00940D34" w:rsidRPr="00743998" w:rsidRDefault="00940D34" w:rsidP="00940D34">
      <w:pPr>
        <w:pStyle w:val="ListParagraph"/>
        <w:numPr>
          <w:ilvl w:val="2"/>
          <w:numId w:val="1"/>
        </w:numPr>
        <w:spacing w:after="0"/>
        <w:jc w:val="both"/>
      </w:pPr>
      <w:r w:rsidRPr="00743998">
        <w:t>Describe your firm’s approach to managing this project.</w:t>
      </w:r>
    </w:p>
    <w:p w14:paraId="4724A131" w14:textId="1915C699" w:rsidR="00940D34" w:rsidRPr="00743998" w:rsidRDefault="00940D34" w:rsidP="00940D34">
      <w:pPr>
        <w:pStyle w:val="ListParagraph"/>
        <w:numPr>
          <w:ilvl w:val="2"/>
          <w:numId w:val="1"/>
        </w:numPr>
        <w:spacing w:after="0"/>
        <w:jc w:val="both"/>
      </w:pPr>
      <w:r w:rsidRPr="00743998">
        <w:t>Describe the procedures and methodologies that will be used to complete this project, including the impervious area calculations</w:t>
      </w:r>
      <w:r w:rsidR="002108AC" w:rsidRPr="00743998">
        <w:t>.</w:t>
      </w:r>
    </w:p>
    <w:p w14:paraId="6348C079" w14:textId="5494EBDE" w:rsidR="00940D34" w:rsidRDefault="00940D34" w:rsidP="00940D34">
      <w:pPr>
        <w:pStyle w:val="ListParagraph"/>
        <w:numPr>
          <w:ilvl w:val="1"/>
          <w:numId w:val="1"/>
        </w:numPr>
        <w:spacing w:after="0"/>
        <w:jc w:val="both"/>
      </w:pPr>
      <w:r>
        <w:t>Background and Experience</w:t>
      </w:r>
    </w:p>
    <w:p w14:paraId="41275523" w14:textId="1BCDF975" w:rsidR="00940D34" w:rsidRDefault="00940D34" w:rsidP="00940D34">
      <w:pPr>
        <w:pStyle w:val="ListParagraph"/>
        <w:numPr>
          <w:ilvl w:val="2"/>
          <w:numId w:val="1"/>
        </w:numPr>
        <w:spacing w:after="0"/>
        <w:jc w:val="both"/>
      </w:pPr>
      <w:r>
        <w:t>Provide a list of impervious area analysis projects completed for local governments in North Carolina in the past five (5)</w:t>
      </w:r>
      <w:r w:rsidR="002108AC">
        <w:t xml:space="preserve"> </w:t>
      </w:r>
      <w:r>
        <w:t>years. Include local government contacts for reference.</w:t>
      </w:r>
    </w:p>
    <w:p w14:paraId="554B0821" w14:textId="2FD269FB" w:rsidR="00940D34" w:rsidRDefault="00940D34" w:rsidP="00940D34">
      <w:pPr>
        <w:pStyle w:val="ListParagraph"/>
        <w:numPr>
          <w:ilvl w:val="1"/>
          <w:numId w:val="1"/>
        </w:numPr>
        <w:spacing w:after="0"/>
        <w:jc w:val="both"/>
      </w:pPr>
      <w:r>
        <w:t>Staffing</w:t>
      </w:r>
    </w:p>
    <w:p w14:paraId="3A83B7B9" w14:textId="05E9B5B4" w:rsidR="00940D34" w:rsidRDefault="00940D34" w:rsidP="00940D34">
      <w:pPr>
        <w:pStyle w:val="ListParagraph"/>
        <w:numPr>
          <w:ilvl w:val="2"/>
          <w:numId w:val="1"/>
        </w:numPr>
        <w:spacing w:after="0"/>
        <w:jc w:val="both"/>
      </w:pPr>
      <w:r>
        <w:t>Provide the names and qualifications of the personnel who will comprise the</w:t>
      </w:r>
    </w:p>
    <w:p w14:paraId="6A2C16F6" w14:textId="77777777" w:rsidR="00940D34" w:rsidRDefault="00940D34" w:rsidP="00940D34">
      <w:pPr>
        <w:pStyle w:val="ListParagraph"/>
        <w:spacing w:after="0"/>
        <w:ind w:left="2160"/>
        <w:jc w:val="both"/>
      </w:pPr>
      <w:r>
        <w:t>project team. Provide resumes for key personnel.</w:t>
      </w:r>
    </w:p>
    <w:p w14:paraId="3879C4A4" w14:textId="02786CA4" w:rsidR="00940D34" w:rsidRDefault="00940D34" w:rsidP="00940D34">
      <w:pPr>
        <w:pStyle w:val="ListParagraph"/>
        <w:numPr>
          <w:ilvl w:val="2"/>
          <w:numId w:val="1"/>
        </w:numPr>
        <w:spacing w:after="0"/>
        <w:jc w:val="both"/>
      </w:pPr>
      <w:r>
        <w:t>Provide an organization chart depicting how the firm will staff and structure the</w:t>
      </w:r>
    </w:p>
    <w:p w14:paraId="3279A949" w14:textId="77777777" w:rsidR="00940D34" w:rsidRDefault="00940D34" w:rsidP="00940D34">
      <w:pPr>
        <w:pStyle w:val="ListParagraph"/>
        <w:numPr>
          <w:ilvl w:val="2"/>
          <w:numId w:val="1"/>
        </w:numPr>
        <w:spacing w:after="0"/>
        <w:jc w:val="both"/>
      </w:pPr>
      <w:r>
        <w:t>proposed team for the project.</w:t>
      </w:r>
    </w:p>
    <w:p w14:paraId="006029F8" w14:textId="520818C7" w:rsidR="00940D34" w:rsidRDefault="00940D34" w:rsidP="00940D34">
      <w:pPr>
        <w:pStyle w:val="ListParagraph"/>
        <w:numPr>
          <w:ilvl w:val="2"/>
          <w:numId w:val="1"/>
        </w:numPr>
        <w:spacing w:after="0"/>
        <w:jc w:val="both"/>
      </w:pPr>
      <w:r>
        <w:t>Identify the location of the project office that will be the base for the personnel</w:t>
      </w:r>
    </w:p>
    <w:p w14:paraId="0436B769" w14:textId="77777777" w:rsidR="00940D34" w:rsidRDefault="00940D34" w:rsidP="00B11D98">
      <w:pPr>
        <w:pStyle w:val="ListParagraph"/>
        <w:spacing w:after="0"/>
        <w:ind w:left="2160"/>
        <w:jc w:val="both"/>
      </w:pPr>
      <w:r>
        <w:t>assigned to the project.</w:t>
      </w:r>
    </w:p>
    <w:p w14:paraId="4226DFFB" w14:textId="20A59787" w:rsidR="00940D34" w:rsidRDefault="00940D34" w:rsidP="00B11D98">
      <w:pPr>
        <w:pStyle w:val="ListParagraph"/>
        <w:numPr>
          <w:ilvl w:val="1"/>
          <w:numId w:val="1"/>
        </w:numPr>
        <w:spacing w:after="0"/>
        <w:jc w:val="both"/>
      </w:pPr>
      <w:r>
        <w:t>Project Schedule</w:t>
      </w:r>
    </w:p>
    <w:p w14:paraId="70BDCC05" w14:textId="367B066D" w:rsidR="00940D34" w:rsidRDefault="00940D34" w:rsidP="008F4402">
      <w:pPr>
        <w:pStyle w:val="ListParagraph"/>
        <w:spacing w:after="0"/>
        <w:ind w:left="1440"/>
        <w:jc w:val="both"/>
      </w:pPr>
      <w:r>
        <w:t>a. Propose a preliminary project schedule.</w:t>
      </w:r>
    </w:p>
    <w:p w14:paraId="28B24A68" w14:textId="79CC423A" w:rsidR="008F4402" w:rsidRDefault="008F4402" w:rsidP="008F4402">
      <w:pPr>
        <w:pStyle w:val="ListParagraph"/>
        <w:spacing w:after="0"/>
        <w:ind w:left="1440"/>
        <w:jc w:val="both"/>
      </w:pPr>
    </w:p>
    <w:p w14:paraId="2C15ABA6" w14:textId="11C5DAFE" w:rsidR="008F4402" w:rsidRDefault="008F4402" w:rsidP="008F4402">
      <w:pPr>
        <w:pStyle w:val="ListParagraph"/>
        <w:numPr>
          <w:ilvl w:val="0"/>
          <w:numId w:val="1"/>
        </w:numPr>
        <w:spacing w:after="240"/>
        <w:contextualSpacing w:val="0"/>
        <w:jc w:val="both"/>
        <w:rPr>
          <w:b/>
          <w:bCs/>
          <w:sz w:val="24"/>
          <w:szCs w:val="24"/>
        </w:rPr>
      </w:pPr>
      <w:r w:rsidRPr="008F4402">
        <w:rPr>
          <w:b/>
          <w:bCs/>
          <w:sz w:val="24"/>
          <w:szCs w:val="24"/>
        </w:rPr>
        <w:t>SELECTION PROCEDURES</w:t>
      </w:r>
    </w:p>
    <w:p w14:paraId="6E6EFDEA" w14:textId="61466530" w:rsidR="008F4402" w:rsidRDefault="008F4402" w:rsidP="008F4402">
      <w:pPr>
        <w:pStyle w:val="ListParagraph"/>
        <w:spacing w:after="0"/>
        <w:jc w:val="both"/>
      </w:pPr>
      <w:r w:rsidRPr="008F4402">
        <w:t>SOQs will be evaluated based on the following criteria:</w:t>
      </w:r>
    </w:p>
    <w:tbl>
      <w:tblPr>
        <w:tblStyle w:val="TableGrid"/>
        <w:tblW w:w="0" w:type="auto"/>
        <w:tblInd w:w="720" w:type="dxa"/>
        <w:tblLook w:val="04A0" w:firstRow="1" w:lastRow="0" w:firstColumn="1" w:lastColumn="0" w:noHBand="0" w:noVBand="1"/>
      </w:tblPr>
      <w:tblGrid>
        <w:gridCol w:w="6565"/>
        <w:gridCol w:w="2065"/>
      </w:tblGrid>
      <w:tr w:rsidR="008F4402" w14:paraId="670EA599" w14:textId="77777777" w:rsidTr="008F4402">
        <w:tc>
          <w:tcPr>
            <w:tcW w:w="6565" w:type="dxa"/>
          </w:tcPr>
          <w:p w14:paraId="5233649A" w14:textId="1B4C11EE" w:rsidR="008F4402" w:rsidRPr="008F4402" w:rsidRDefault="008F4402" w:rsidP="008F4402">
            <w:pPr>
              <w:pStyle w:val="ListParagraph"/>
              <w:ind w:left="0"/>
              <w:jc w:val="center"/>
              <w:rPr>
                <w:u w:val="single"/>
              </w:rPr>
            </w:pPr>
            <w:r w:rsidRPr="008F4402">
              <w:rPr>
                <w:u w:val="single"/>
              </w:rPr>
              <w:t>Criteria:</w:t>
            </w:r>
          </w:p>
        </w:tc>
        <w:tc>
          <w:tcPr>
            <w:tcW w:w="2065" w:type="dxa"/>
          </w:tcPr>
          <w:p w14:paraId="18A75904" w14:textId="20D0BF05" w:rsidR="008F4402" w:rsidRPr="008F4402" w:rsidRDefault="008F4402" w:rsidP="008F4402">
            <w:pPr>
              <w:pStyle w:val="ListParagraph"/>
              <w:ind w:left="0"/>
              <w:jc w:val="center"/>
              <w:rPr>
                <w:u w:val="single"/>
              </w:rPr>
            </w:pPr>
            <w:r w:rsidRPr="008F4402">
              <w:rPr>
                <w:u w:val="single"/>
              </w:rPr>
              <w:t>Possible Points:</w:t>
            </w:r>
          </w:p>
        </w:tc>
      </w:tr>
      <w:tr w:rsidR="008F4402" w14:paraId="08BDAF30" w14:textId="77777777" w:rsidTr="008F4402">
        <w:tc>
          <w:tcPr>
            <w:tcW w:w="6565" w:type="dxa"/>
          </w:tcPr>
          <w:p w14:paraId="654DE658" w14:textId="77777777" w:rsidR="008F4402" w:rsidRDefault="008F4402" w:rsidP="008F4402">
            <w:pPr>
              <w:pStyle w:val="ListParagraph"/>
              <w:ind w:left="-30"/>
            </w:pPr>
            <w:r>
              <w:t>Experience and track record in providing similar services to other</w:t>
            </w:r>
          </w:p>
          <w:p w14:paraId="37F3D2CC" w14:textId="788AB686" w:rsidR="008F4402" w:rsidRDefault="008F4402" w:rsidP="008F4402">
            <w:pPr>
              <w:pStyle w:val="ListParagraph"/>
              <w:ind w:left="-30"/>
            </w:pPr>
            <w:r>
              <w:t>local governments in North Carolina</w:t>
            </w:r>
          </w:p>
        </w:tc>
        <w:tc>
          <w:tcPr>
            <w:tcW w:w="2065" w:type="dxa"/>
          </w:tcPr>
          <w:p w14:paraId="1FEAAB63" w14:textId="1524B2B7" w:rsidR="008F4402" w:rsidRDefault="008F4402" w:rsidP="008F4402">
            <w:pPr>
              <w:pStyle w:val="ListParagraph"/>
              <w:ind w:left="0"/>
              <w:jc w:val="center"/>
            </w:pPr>
            <w:r>
              <w:t>40</w:t>
            </w:r>
          </w:p>
        </w:tc>
      </w:tr>
      <w:tr w:rsidR="008F4402" w14:paraId="77710021" w14:textId="77777777" w:rsidTr="008F4402">
        <w:tc>
          <w:tcPr>
            <w:tcW w:w="6565" w:type="dxa"/>
          </w:tcPr>
          <w:p w14:paraId="6FF67D15" w14:textId="4D24BDE5" w:rsidR="008F4402" w:rsidRDefault="008F4402" w:rsidP="008F4402">
            <w:pPr>
              <w:pStyle w:val="ListParagraph"/>
              <w:ind w:left="0"/>
              <w:jc w:val="both"/>
            </w:pPr>
            <w:r>
              <w:t>Overall approach to providing services</w:t>
            </w:r>
          </w:p>
        </w:tc>
        <w:tc>
          <w:tcPr>
            <w:tcW w:w="2065" w:type="dxa"/>
          </w:tcPr>
          <w:p w14:paraId="5E2974C1" w14:textId="707B20ED" w:rsidR="008F4402" w:rsidRDefault="008F4402" w:rsidP="008F4402">
            <w:pPr>
              <w:pStyle w:val="ListParagraph"/>
              <w:ind w:left="0"/>
              <w:jc w:val="center"/>
            </w:pPr>
            <w:r>
              <w:t>20</w:t>
            </w:r>
          </w:p>
        </w:tc>
      </w:tr>
      <w:tr w:rsidR="008F4402" w14:paraId="7686E91F" w14:textId="77777777" w:rsidTr="008F4402">
        <w:tc>
          <w:tcPr>
            <w:tcW w:w="6565" w:type="dxa"/>
          </w:tcPr>
          <w:p w14:paraId="451EE108" w14:textId="45B92C57" w:rsidR="008F4402" w:rsidRDefault="008F4402" w:rsidP="008F4402">
            <w:pPr>
              <w:pStyle w:val="ListParagraph"/>
              <w:ind w:left="0"/>
              <w:jc w:val="both"/>
            </w:pPr>
            <w:r w:rsidRPr="008F4402">
              <w:t>Qualifications and accessibility of project team</w:t>
            </w:r>
          </w:p>
        </w:tc>
        <w:tc>
          <w:tcPr>
            <w:tcW w:w="2065" w:type="dxa"/>
          </w:tcPr>
          <w:p w14:paraId="4CABD13D" w14:textId="4593FB9E" w:rsidR="008F4402" w:rsidRDefault="008F4402" w:rsidP="008F4402">
            <w:pPr>
              <w:pStyle w:val="ListParagraph"/>
              <w:ind w:left="0"/>
              <w:jc w:val="center"/>
            </w:pPr>
            <w:r>
              <w:t>20</w:t>
            </w:r>
          </w:p>
        </w:tc>
      </w:tr>
      <w:tr w:rsidR="008F4402" w14:paraId="6CF6DD66" w14:textId="77777777" w:rsidTr="008F4402">
        <w:tc>
          <w:tcPr>
            <w:tcW w:w="6565" w:type="dxa"/>
          </w:tcPr>
          <w:p w14:paraId="30AA53E8" w14:textId="5B136FC7" w:rsidR="008F4402" w:rsidRDefault="008F4402" w:rsidP="008F4402">
            <w:pPr>
              <w:pStyle w:val="ListParagraph"/>
              <w:ind w:left="0"/>
              <w:jc w:val="both"/>
            </w:pPr>
            <w:r w:rsidRPr="008F4402">
              <w:t>Overall strength and stability of firm</w:t>
            </w:r>
          </w:p>
        </w:tc>
        <w:tc>
          <w:tcPr>
            <w:tcW w:w="2065" w:type="dxa"/>
          </w:tcPr>
          <w:p w14:paraId="1161B8AF" w14:textId="0A31B058" w:rsidR="008F4402" w:rsidRDefault="008F4402" w:rsidP="008F4402">
            <w:pPr>
              <w:pStyle w:val="ListParagraph"/>
              <w:ind w:left="0"/>
              <w:jc w:val="center"/>
            </w:pPr>
            <w:r>
              <w:t>15</w:t>
            </w:r>
          </w:p>
        </w:tc>
      </w:tr>
      <w:tr w:rsidR="008F4402" w14:paraId="768CEE9F" w14:textId="77777777" w:rsidTr="008F4402">
        <w:tc>
          <w:tcPr>
            <w:tcW w:w="6565" w:type="dxa"/>
          </w:tcPr>
          <w:p w14:paraId="55988B5D" w14:textId="09C9965B" w:rsidR="008F4402" w:rsidRDefault="008F4402" w:rsidP="008F4402">
            <w:pPr>
              <w:pStyle w:val="ListParagraph"/>
              <w:ind w:left="0"/>
              <w:jc w:val="both"/>
            </w:pPr>
            <w:r>
              <w:t>Other factors presented by the firm</w:t>
            </w:r>
          </w:p>
        </w:tc>
        <w:tc>
          <w:tcPr>
            <w:tcW w:w="2065" w:type="dxa"/>
          </w:tcPr>
          <w:p w14:paraId="58274B9F" w14:textId="2F46D6D1" w:rsidR="008F4402" w:rsidRDefault="008F4402" w:rsidP="008F4402">
            <w:pPr>
              <w:pStyle w:val="ListParagraph"/>
              <w:ind w:left="0"/>
              <w:jc w:val="center"/>
            </w:pPr>
            <w:r>
              <w:t>5</w:t>
            </w:r>
          </w:p>
        </w:tc>
      </w:tr>
      <w:tr w:rsidR="008F4402" w14:paraId="53C37FF4" w14:textId="77777777" w:rsidTr="008F4402">
        <w:tc>
          <w:tcPr>
            <w:tcW w:w="6565" w:type="dxa"/>
          </w:tcPr>
          <w:p w14:paraId="17AB3E21" w14:textId="61CF05A5" w:rsidR="008F4402" w:rsidRPr="008F4402" w:rsidRDefault="008F4402" w:rsidP="008F4402">
            <w:pPr>
              <w:pStyle w:val="ListParagraph"/>
              <w:ind w:left="0"/>
              <w:jc w:val="center"/>
              <w:rPr>
                <w:b/>
                <w:bCs/>
              </w:rPr>
            </w:pPr>
            <w:r w:rsidRPr="008F4402">
              <w:rPr>
                <w:b/>
                <w:bCs/>
              </w:rPr>
              <w:t>Total</w:t>
            </w:r>
          </w:p>
        </w:tc>
        <w:tc>
          <w:tcPr>
            <w:tcW w:w="2065" w:type="dxa"/>
          </w:tcPr>
          <w:p w14:paraId="1F7B2EEA" w14:textId="4B2085F3" w:rsidR="008F4402" w:rsidRPr="008F4402" w:rsidRDefault="008F4402" w:rsidP="008F4402">
            <w:pPr>
              <w:pStyle w:val="ListParagraph"/>
              <w:ind w:left="0"/>
              <w:jc w:val="center"/>
              <w:rPr>
                <w:b/>
                <w:bCs/>
              </w:rPr>
            </w:pPr>
            <w:r w:rsidRPr="008F4402">
              <w:rPr>
                <w:b/>
                <w:bCs/>
              </w:rPr>
              <w:t>100</w:t>
            </w:r>
          </w:p>
        </w:tc>
      </w:tr>
    </w:tbl>
    <w:p w14:paraId="64A4DB38" w14:textId="5E1866BA" w:rsidR="008F4402" w:rsidRDefault="008F4402" w:rsidP="008F4402">
      <w:pPr>
        <w:pStyle w:val="ListParagraph"/>
        <w:spacing w:after="0"/>
        <w:jc w:val="both"/>
      </w:pPr>
    </w:p>
    <w:p w14:paraId="7E859B7D" w14:textId="525FB696" w:rsidR="008F4402" w:rsidRDefault="008F4402" w:rsidP="008F4402">
      <w:pPr>
        <w:pStyle w:val="ListParagraph"/>
        <w:spacing w:after="0"/>
        <w:jc w:val="both"/>
      </w:pPr>
      <w:r>
        <w:t>After an initial review and evaluation of each of the SOQs, the firms submitting the most highly rated SOQs may be invited for interviews prior to final selection, to further elaborate their qualifications. The Town reserves the right to select a firm without holding interviews, in the event</w:t>
      </w:r>
    </w:p>
    <w:p w14:paraId="66AB195F" w14:textId="4946AD7D" w:rsidR="008F4402" w:rsidRDefault="008F4402" w:rsidP="008F4402">
      <w:pPr>
        <w:pStyle w:val="ListParagraph"/>
        <w:spacing w:after="0"/>
        <w:jc w:val="both"/>
      </w:pPr>
      <w:r>
        <w:t>the written SOQs provide a clear preference based on the criteria described.</w:t>
      </w:r>
    </w:p>
    <w:p w14:paraId="377A63E9" w14:textId="77777777" w:rsidR="008F4402" w:rsidRDefault="008F4402" w:rsidP="008F4402">
      <w:pPr>
        <w:pStyle w:val="ListParagraph"/>
        <w:spacing w:after="0"/>
        <w:jc w:val="both"/>
      </w:pPr>
    </w:p>
    <w:p w14:paraId="1148479B" w14:textId="295026F2" w:rsidR="008F4402" w:rsidRDefault="008F4402" w:rsidP="008F4402">
      <w:pPr>
        <w:pStyle w:val="ListParagraph"/>
        <w:spacing w:after="0"/>
        <w:jc w:val="both"/>
      </w:pPr>
      <w:r>
        <w:t>When the most qualified firm has been determined, the Town intends to negotiate an agreement with the selected firm to proceed with the project.</w:t>
      </w:r>
    </w:p>
    <w:p w14:paraId="02F2D7E7" w14:textId="77777777" w:rsidR="008F4402" w:rsidRDefault="008F4402" w:rsidP="008F4402">
      <w:pPr>
        <w:pStyle w:val="ListParagraph"/>
        <w:spacing w:after="0"/>
        <w:jc w:val="both"/>
      </w:pPr>
    </w:p>
    <w:p w14:paraId="3DBD504E" w14:textId="398A87B9" w:rsidR="008F4402" w:rsidRDefault="008F4402" w:rsidP="008F4402">
      <w:pPr>
        <w:pStyle w:val="ListParagraph"/>
        <w:spacing w:after="0"/>
        <w:jc w:val="both"/>
      </w:pPr>
      <w:r>
        <w:t>No agreement with the City is in effect until both parties have signed the contract.</w:t>
      </w:r>
    </w:p>
    <w:p w14:paraId="12859C8D" w14:textId="77777777" w:rsidR="00F47C0F" w:rsidRPr="008F4402" w:rsidRDefault="00F47C0F" w:rsidP="008F4402">
      <w:pPr>
        <w:pStyle w:val="ListParagraph"/>
        <w:spacing w:after="0"/>
        <w:jc w:val="both"/>
      </w:pPr>
    </w:p>
    <w:p w14:paraId="7D14C8B6" w14:textId="009A4660" w:rsidR="008F4402" w:rsidRPr="008F4402" w:rsidRDefault="008F4402" w:rsidP="00F47C0F">
      <w:pPr>
        <w:pStyle w:val="ListParagraph"/>
        <w:numPr>
          <w:ilvl w:val="0"/>
          <w:numId w:val="1"/>
        </w:numPr>
        <w:spacing w:after="0"/>
        <w:jc w:val="both"/>
        <w:rPr>
          <w:b/>
          <w:bCs/>
          <w:sz w:val="24"/>
          <w:szCs w:val="24"/>
        </w:rPr>
      </w:pPr>
      <w:r w:rsidRPr="008F4402">
        <w:rPr>
          <w:b/>
          <w:bCs/>
          <w:sz w:val="24"/>
          <w:szCs w:val="24"/>
        </w:rPr>
        <w:t xml:space="preserve">INQUIRIES </w:t>
      </w:r>
    </w:p>
    <w:p w14:paraId="119806B3" w14:textId="77777777" w:rsidR="00F47C0F" w:rsidRDefault="00F47C0F" w:rsidP="008F4402">
      <w:pPr>
        <w:pStyle w:val="ListParagraph"/>
        <w:spacing w:after="0"/>
        <w:jc w:val="both"/>
      </w:pPr>
    </w:p>
    <w:p w14:paraId="477ABF85" w14:textId="1045B70E" w:rsidR="008F4402" w:rsidRDefault="008F4402" w:rsidP="008F4402">
      <w:pPr>
        <w:pStyle w:val="ListParagraph"/>
        <w:spacing w:after="0"/>
        <w:jc w:val="both"/>
      </w:pPr>
      <w:r>
        <w:t>Direct all inquiries regarding the SOQ process or submissions to:</w:t>
      </w:r>
    </w:p>
    <w:p w14:paraId="5D8C4623" w14:textId="696B9370" w:rsidR="00F47C0F" w:rsidRDefault="00F47C0F" w:rsidP="008F4402">
      <w:pPr>
        <w:pStyle w:val="ListParagraph"/>
        <w:spacing w:after="0"/>
        <w:jc w:val="both"/>
      </w:pPr>
    </w:p>
    <w:p w14:paraId="2C5D49CD" w14:textId="643CE2EE" w:rsidR="00F47C0F" w:rsidRDefault="00F47C0F" w:rsidP="00F47C0F">
      <w:pPr>
        <w:pStyle w:val="ListParagraph"/>
        <w:spacing w:after="0"/>
        <w:jc w:val="both"/>
      </w:pPr>
      <w:r>
        <w:t>Stephen Wensman, Planning Director</w:t>
      </w:r>
    </w:p>
    <w:p w14:paraId="0EDAA785" w14:textId="3C18405E" w:rsidR="00F47C0F" w:rsidRDefault="00F47C0F" w:rsidP="00F47C0F">
      <w:pPr>
        <w:pStyle w:val="ListParagraph"/>
        <w:spacing w:after="0"/>
        <w:jc w:val="both"/>
      </w:pPr>
      <w:r>
        <w:t>Town of Smithfield</w:t>
      </w:r>
    </w:p>
    <w:p w14:paraId="096A2773" w14:textId="29BF7455" w:rsidR="00F47C0F" w:rsidRDefault="00F47C0F" w:rsidP="00F47C0F">
      <w:pPr>
        <w:pStyle w:val="ListParagraph"/>
        <w:spacing w:after="0"/>
        <w:jc w:val="both"/>
      </w:pPr>
      <w:r>
        <w:t>350 East Market Street</w:t>
      </w:r>
    </w:p>
    <w:p w14:paraId="30DE976E" w14:textId="64686BAD" w:rsidR="00F47C0F" w:rsidRDefault="00F47C0F" w:rsidP="00F47C0F">
      <w:pPr>
        <w:pStyle w:val="ListParagraph"/>
        <w:spacing w:after="0"/>
        <w:jc w:val="both"/>
      </w:pPr>
      <w:r>
        <w:t>P.O. Box 761</w:t>
      </w:r>
    </w:p>
    <w:p w14:paraId="14F7C66F" w14:textId="2F8CF483" w:rsidR="00F47C0F" w:rsidRDefault="00F47C0F" w:rsidP="00F47C0F">
      <w:pPr>
        <w:pStyle w:val="ListParagraph"/>
        <w:spacing w:after="0"/>
        <w:jc w:val="both"/>
      </w:pPr>
      <w:r>
        <w:t>Smithfield, NC 27577</w:t>
      </w:r>
    </w:p>
    <w:p w14:paraId="4D8D0188" w14:textId="5040E3E2" w:rsidR="00F47C0F" w:rsidRDefault="00A95BC0" w:rsidP="00F47C0F">
      <w:pPr>
        <w:pStyle w:val="ListParagraph"/>
        <w:spacing w:after="0"/>
        <w:jc w:val="both"/>
      </w:pPr>
      <w:hyperlink r:id="rId9" w:history="1">
        <w:r w:rsidR="00F47C0F" w:rsidRPr="005062F8">
          <w:rPr>
            <w:rStyle w:val="Hyperlink"/>
          </w:rPr>
          <w:t>Stephen.wensman@smithfield-nc.com</w:t>
        </w:r>
      </w:hyperlink>
    </w:p>
    <w:p w14:paraId="01B80E4C" w14:textId="77777777" w:rsidR="00F47C0F" w:rsidRDefault="00F47C0F" w:rsidP="00F47C0F">
      <w:pPr>
        <w:pStyle w:val="ListParagraph"/>
        <w:spacing w:after="0"/>
        <w:jc w:val="both"/>
      </w:pPr>
    </w:p>
    <w:p w14:paraId="2164DAEA" w14:textId="77777777" w:rsidR="008F4402" w:rsidRPr="008F4402" w:rsidRDefault="008F4402">
      <w:pPr>
        <w:pStyle w:val="ListParagraph"/>
        <w:spacing w:after="0"/>
        <w:jc w:val="both"/>
      </w:pPr>
    </w:p>
    <w:sectPr w:rsidR="008F4402" w:rsidRPr="008F4402" w:rsidSect="00094A2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7661" w14:textId="77777777" w:rsidR="00A95BC0" w:rsidRDefault="00A95BC0" w:rsidP="00AB580E">
      <w:pPr>
        <w:spacing w:after="0" w:line="240" w:lineRule="auto"/>
      </w:pPr>
      <w:r>
        <w:separator/>
      </w:r>
    </w:p>
  </w:endnote>
  <w:endnote w:type="continuationSeparator" w:id="0">
    <w:p w14:paraId="401FA1BA" w14:textId="77777777" w:rsidR="00A95BC0" w:rsidRDefault="00A95BC0" w:rsidP="00AB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DB62" w14:textId="77777777" w:rsidR="00A95BC0" w:rsidRDefault="00A95BC0" w:rsidP="00AB580E">
      <w:pPr>
        <w:spacing w:after="0" w:line="240" w:lineRule="auto"/>
      </w:pPr>
      <w:r>
        <w:separator/>
      </w:r>
    </w:p>
  </w:footnote>
  <w:footnote w:type="continuationSeparator" w:id="0">
    <w:p w14:paraId="4C0D64E5" w14:textId="77777777" w:rsidR="00A95BC0" w:rsidRDefault="00A95BC0" w:rsidP="00AB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2C76" w14:textId="2BDEE82F" w:rsidR="00592A18" w:rsidRPr="00AB580E" w:rsidRDefault="00AB580E" w:rsidP="00592A18">
    <w:pPr>
      <w:ind w:left="4950" w:hanging="4950"/>
      <w:jc w:val="right"/>
      <w:rPr>
        <w:b/>
        <w:bCs/>
        <w:sz w:val="36"/>
        <w:szCs w:val="36"/>
      </w:rPr>
    </w:pPr>
    <w:r>
      <w:t>Town of Smithfield</w:t>
    </w:r>
    <w:r w:rsidR="00592A18">
      <w:tab/>
    </w:r>
    <w:r w:rsidR="00592A18">
      <w:tab/>
    </w:r>
    <w:r w:rsidR="00592A18">
      <w:tab/>
      <w:t xml:space="preserve">RFQ:  </w:t>
    </w:r>
    <w:r w:rsidR="00592A18" w:rsidRPr="00592A18">
      <w:t>Impervious Area Analysis for</w:t>
    </w:r>
    <w:r w:rsidR="00592A18">
      <w:t xml:space="preserve"> </w:t>
    </w:r>
    <w:r w:rsidR="00592A18" w:rsidRPr="00592A18">
      <w:t>Stormwater Fee Structure</w:t>
    </w:r>
    <w:r w:rsidR="00592A18" w:rsidRPr="00AB580E">
      <w:rPr>
        <w:b/>
        <w:bCs/>
        <w:sz w:val="36"/>
        <w:szCs w:val="36"/>
      </w:rPr>
      <w:t xml:space="preserve"> </w:t>
    </w:r>
  </w:p>
  <w:p w14:paraId="6AA211D2" w14:textId="72C4702C" w:rsidR="00AB580E" w:rsidRDefault="00AB580E" w:rsidP="00592A18">
    <w:pPr>
      <w:pStyle w:val="Header"/>
      <w:tabs>
        <w:tab w:val="lef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139"/>
    <w:multiLevelType w:val="hybridMultilevel"/>
    <w:tmpl w:val="1550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1C12"/>
    <w:multiLevelType w:val="hybridMultilevel"/>
    <w:tmpl w:val="4D621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4C2D83"/>
    <w:multiLevelType w:val="hybridMultilevel"/>
    <w:tmpl w:val="6D2CA08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076A4"/>
    <w:multiLevelType w:val="hybridMultilevel"/>
    <w:tmpl w:val="4EAED502"/>
    <w:lvl w:ilvl="0" w:tplc="60C25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86B57"/>
    <w:multiLevelType w:val="hybridMultilevel"/>
    <w:tmpl w:val="6480E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813EAB"/>
    <w:multiLevelType w:val="hybridMultilevel"/>
    <w:tmpl w:val="F3CA4DCE"/>
    <w:lvl w:ilvl="0" w:tplc="E0A0E1C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11FFD"/>
    <w:multiLevelType w:val="hybridMultilevel"/>
    <w:tmpl w:val="EA7E6DB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76082"/>
    <w:multiLevelType w:val="hybridMultilevel"/>
    <w:tmpl w:val="61CA1C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LEwMLOwtDA2MDRU0lEKTi0uzszPAykwrgUANIrBqiwAAAA="/>
  </w:docVars>
  <w:rsids>
    <w:rsidRoot w:val="006865F2"/>
    <w:rsid w:val="00087C43"/>
    <w:rsid w:val="00094A2B"/>
    <w:rsid w:val="002108AC"/>
    <w:rsid w:val="002F4021"/>
    <w:rsid w:val="003C5586"/>
    <w:rsid w:val="0058064C"/>
    <w:rsid w:val="00592A18"/>
    <w:rsid w:val="006865F2"/>
    <w:rsid w:val="006F4D51"/>
    <w:rsid w:val="00743998"/>
    <w:rsid w:val="008373DC"/>
    <w:rsid w:val="008F4402"/>
    <w:rsid w:val="00940D34"/>
    <w:rsid w:val="00956F3A"/>
    <w:rsid w:val="00A95BC0"/>
    <w:rsid w:val="00AB580E"/>
    <w:rsid w:val="00B11D98"/>
    <w:rsid w:val="00B42348"/>
    <w:rsid w:val="00BA589B"/>
    <w:rsid w:val="00BF3A68"/>
    <w:rsid w:val="00C915F0"/>
    <w:rsid w:val="00E14138"/>
    <w:rsid w:val="00F4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B"/>
  <w15:chartTrackingRefBased/>
  <w15:docId w15:val="{9705FAAF-47FA-4A6B-B4A2-0D77C896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0E"/>
  </w:style>
  <w:style w:type="paragraph" w:styleId="Footer">
    <w:name w:val="footer"/>
    <w:basedOn w:val="Normal"/>
    <w:link w:val="FooterChar"/>
    <w:uiPriority w:val="99"/>
    <w:unhideWhenUsed/>
    <w:rsid w:val="00AB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0E"/>
  </w:style>
  <w:style w:type="paragraph" w:styleId="ListParagraph">
    <w:name w:val="List Paragraph"/>
    <w:basedOn w:val="Normal"/>
    <w:uiPriority w:val="34"/>
    <w:qFormat/>
    <w:rsid w:val="00592A18"/>
    <w:pPr>
      <w:ind w:left="720"/>
      <w:contextualSpacing/>
    </w:pPr>
  </w:style>
  <w:style w:type="table" w:styleId="TableGrid">
    <w:name w:val="Table Grid"/>
    <w:basedOn w:val="TableNormal"/>
    <w:uiPriority w:val="39"/>
    <w:rsid w:val="0008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D34"/>
    <w:rPr>
      <w:color w:val="0563C1" w:themeColor="hyperlink"/>
      <w:u w:val="single"/>
    </w:rPr>
  </w:style>
  <w:style w:type="character" w:styleId="UnresolvedMention">
    <w:name w:val="Unresolved Mention"/>
    <w:basedOn w:val="DefaultParagraphFont"/>
    <w:uiPriority w:val="99"/>
    <w:semiHidden/>
    <w:unhideWhenUsed/>
    <w:rsid w:val="00940D34"/>
    <w:rPr>
      <w:color w:val="605E5C"/>
      <w:shd w:val="clear" w:color="auto" w:fill="E1DFDD"/>
    </w:rPr>
  </w:style>
  <w:style w:type="paragraph" w:styleId="BalloonText">
    <w:name w:val="Balloon Text"/>
    <w:basedOn w:val="Normal"/>
    <w:link w:val="BalloonTextChar"/>
    <w:uiPriority w:val="99"/>
    <w:semiHidden/>
    <w:unhideWhenUsed/>
    <w:rsid w:val="00094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wensman@smithfield-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wensman@smithfield-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Wensman</dc:creator>
  <cp:keywords/>
  <dc:description/>
  <cp:lastModifiedBy>Stephen Wensman</cp:lastModifiedBy>
  <cp:revision>2</cp:revision>
  <cp:lastPrinted>2021-01-15T16:11:00Z</cp:lastPrinted>
  <dcterms:created xsi:type="dcterms:W3CDTF">2021-01-19T15:54:00Z</dcterms:created>
  <dcterms:modified xsi:type="dcterms:W3CDTF">2021-01-19T15:54:00Z</dcterms:modified>
</cp:coreProperties>
</file>