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39FF" w14:textId="77777777" w:rsidR="00633046" w:rsidRPr="00477B22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110CDB5C" w14:textId="77777777" w:rsidR="00633046" w:rsidRPr="00477B22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3548053B" w14:textId="77777777" w:rsidR="00633046" w:rsidRPr="00477B22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26FD73BD" w14:textId="77777777" w:rsidR="00633046" w:rsidRPr="00477B22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>
        <w:rPr>
          <w:rFonts w:ascii="Times New Roman" w:hAnsi="Times New Roman"/>
          <w:sz w:val="28"/>
          <w:szCs w:val="28"/>
        </w:rPr>
        <w:t xml:space="preserve"> 2021-22</w:t>
      </w:r>
    </w:p>
    <w:p w14:paraId="644DE230" w14:textId="77777777" w:rsidR="00633046" w:rsidRPr="00477B22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AEB450C" w14:textId="77777777" w:rsidR="00633046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Broadband Network</w:t>
      </w:r>
    </w:p>
    <w:p w14:paraId="4EC4AFA1" w14:textId="77777777" w:rsidR="00633046" w:rsidRPr="00477B22" w:rsidRDefault="00633046" w:rsidP="0063304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A929E42" w14:textId="2512031E" w:rsidR="00633046" w:rsidRDefault="00633046" w:rsidP="0017028D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3CB7418E" w14:textId="27549DAC" w:rsidR="00633046" w:rsidRDefault="00633046"/>
    <w:p w14:paraId="2BECB85C" w14:textId="2F24BC9D" w:rsidR="00633046" w:rsidRDefault="00633046" w:rsidP="0017028D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1768E">
        <w:rPr>
          <w:rFonts w:ascii="Times New Roman" w:hAnsi="Times New Roman"/>
          <w:b/>
          <w:sz w:val="24"/>
          <w:szCs w:val="24"/>
        </w:rPr>
        <w:t xml:space="preserve">This addendum is </w:t>
      </w:r>
      <w:r>
        <w:rPr>
          <w:rFonts w:ascii="Times New Roman" w:hAnsi="Times New Roman"/>
          <w:b/>
          <w:sz w:val="24"/>
          <w:szCs w:val="24"/>
        </w:rPr>
        <w:t>in response to</w:t>
      </w:r>
      <w:r w:rsidRPr="00F176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additional RFIs received</w:t>
      </w:r>
      <w:r w:rsidRPr="00F1768E">
        <w:rPr>
          <w:rFonts w:ascii="Times New Roman" w:hAnsi="Times New Roman"/>
          <w:b/>
          <w:sz w:val="24"/>
          <w:szCs w:val="24"/>
        </w:rPr>
        <w:t>. Due to</w:t>
      </w:r>
      <w:r>
        <w:rPr>
          <w:rFonts w:ascii="Times New Roman" w:hAnsi="Times New Roman"/>
          <w:b/>
          <w:sz w:val="24"/>
          <w:szCs w:val="24"/>
        </w:rPr>
        <w:t xml:space="preserve"> the </w:t>
      </w:r>
      <w:r w:rsidRPr="00F1768E">
        <w:rPr>
          <w:rFonts w:ascii="Times New Roman" w:hAnsi="Times New Roman"/>
          <w:b/>
          <w:sz w:val="24"/>
          <w:szCs w:val="24"/>
        </w:rPr>
        <w:t>updates</w:t>
      </w:r>
      <w:r>
        <w:rPr>
          <w:rFonts w:ascii="Times New Roman" w:hAnsi="Times New Roman"/>
          <w:b/>
          <w:sz w:val="24"/>
          <w:szCs w:val="24"/>
        </w:rPr>
        <w:t xml:space="preserve"> listed in Addendum 2,</w:t>
      </w:r>
      <w:r w:rsidRPr="00F1768E">
        <w:rPr>
          <w:rFonts w:ascii="Times New Roman" w:hAnsi="Times New Roman"/>
          <w:b/>
          <w:sz w:val="24"/>
          <w:szCs w:val="24"/>
        </w:rPr>
        <w:t xml:space="preserve"> the deadline for sealed proposals</w:t>
      </w:r>
      <w:r>
        <w:rPr>
          <w:rFonts w:ascii="Times New Roman" w:hAnsi="Times New Roman"/>
          <w:b/>
          <w:sz w:val="24"/>
          <w:szCs w:val="24"/>
        </w:rPr>
        <w:t xml:space="preserve"> was</w:t>
      </w:r>
      <w:r w:rsidRPr="00F1768E">
        <w:rPr>
          <w:rFonts w:ascii="Times New Roman" w:hAnsi="Times New Roman"/>
          <w:b/>
          <w:sz w:val="24"/>
          <w:szCs w:val="24"/>
        </w:rPr>
        <w:t xml:space="preserve"> extended to Friday, July 2</w:t>
      </w:r>
      <w:r w:rsidRPr="00F1768E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F1768E">
        <w:rPr>
          <w:rFonts w:ascii="Times New Roman" w:hAnsi="Times New Roman"/>
          <w:b/>
          <w:sz w:val="24"/>
          <w:szCs w:val="24"/>
        </w:rPr>
        <w:t>, 2021.</w:t>
      </w:r>
    </w:p>
    <w:p w14:paraId="2F649BA4" w14:textId="77777777" w:rsidR="0017028D" w:rsidRDefault="0017028D" w:rsidP="0017028D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3D9683D" w14:textId="6680AEC5" w:rsidR="00633046" w:rsidRDefault="00633046" w:rsidP="0063304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71BDA7C3" w14:textId="480ABB14" w:rsidR="00633046" w:rsidRDefault="00633046" w:rsidP="0063304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Questions as of 6/17/2021:</w:t>
      </w:r>
    </w:p>
    <w:p w14:paraId="5EB7BDD7" w14:textId="49FAB733" w:rsidR="00633046" w:rsidRDefault="00633046" w:rsidP="0063304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42DEBBDF" w14:textId="77777777" w:rsidR="00633046" w:rsidRPr="00633046" w:rsidRDefault="00633046" w:rsidP="00633046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633046">
        <w:rPr>
          <w:rFonts w:ascii="Times New Roman" w:hAnsi="Times New Roman"/>
          <w:b/>
          <w:sz w:val="24"/>
          <w:szCs w:val="24"/>
        </w:rPr>
        <w:t xml:space="preserve">Is there a way to subscribe to updates? Or do we need to continue to check the website for changes?  Please, continue to check the websites for any new addendums, </w:t>
      </w:r>
      <w:proofErr w:type="gramStart"/>
      <w:r w:rsidRPr="00633046">
        <w:rPr>
          <w:rFonts w:ascii="Times New Roman" w:hAnsi="Times New Roman"/>
          <w:b/>
          <w:sz w:val="24"/>
          <w:szCs w:val="24"/>
        </w:rPr>
        <w:t>updates,  or</w:t>
      </w:r>
      <w:proofErr w:type="gramEnd"/>
      <w:r w:rsidRPr="00633046">
        <w:rPr>
          <w:rFonts w:ascii="Times New Roman" w:hAnsi="Times New Roman"/>
          <w:b/>
          <w:sz w:val="24"/>
          <w:szCs w:val="24"/>
        </w:rPr>
        <w:t xml:space="preserve"> changes to the bid information.</w:t>
      </w:r>
    </w:p>
    <w:p w14:paraId="75DA2B62" w14:textId="5661E903" w:rsidR="00633046" w:rsidRPr="00633046" w:rsidRDefault="00633046" w:rsidP="00633046">
      <w:pPr>
        <w:widowControl/>
        <w:overflowPunct/>
        <w:autoSpaceDE/>
        <w:autoSpaceDN/>
        <w:adjustRightInd/>
        <w:spacing w:after="240"/>
        <w:ind w:left="720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hyperlink r:id="rId5" w:history="1">
        <w:r w:rsidRPr="00633046">
          <w:rPr>
            <w:rStyle w:val="Hyperlink"/>
            <w:rFonts w:ascii="Times New Roman" w:hAnsi="Times New Roman"/>
            <w:b/>
            <w:color w:val="FF0000"/>
            <w:sz w:val="24"/>
            <w:szCs w:val="24"/>
          </w:rPr>
          <w:t>http://gov.findrfp.com/gov/detail.aspx?id=73144&amp;guid=EC92C8ADBCE44CA4881AC74268FB0A30</w:t>
        </w:r>
      </w:hyperlink>
    </w:p>
    <w:p w14:paraId="14CDC3EC" w14:textId="53119466" w:rsidR="00633046" w:rsidRPr="00633046" w:rsidRDefault="00633046" w:rsidP="00633046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bCs/>
          <w:color w:val="FF0000"/>
          <w:sz w:val="24"/>
          <w:szCs w:val="24"/>
        </w:rPr>
      </w:pPr>
      <w:r w:rsidRPr="00633046">
        <w:rPr>
          <w:rFonts w:ascii="Times New Roman" w:hAnsi="Times New Roman"/>
          <w:b/>
          <w:sz w:val="24"/>
          <w:szCs w:val="24"/>
        </w:rPr>
        <w:t>Are Rural Digital Opportunity Funds excluded or included from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046">
        <w:rPr>
          <w:rFonts w:ascii="Times New Roman" w:hAnsi="Times New Roman"/>
          <w:b/>
          <w:sz w:val="24"/>
          <w:szCs w:val="24"/>
        </w:rPr>
        <w:t>bidding? </w:t>
      </w:r>
      <w:hyperlink r:id="rId6" w:history="1">
        <w:r w:rsidRPr="00633046">
          <w:rPr>
            <w:rStyle w:val="Hyperlink"/>
            <w:rFonts w:ascii="Times New Roman" w:hAnsi="Times New Roman"/>
            <w:b/>
            <w:sz w:val="24"/>
            <w:szCs w:val="24"/>
          </w:rPr>
          <w:t>https://www.fcc.gov/auction/904</w:t>
        </w:r>
      </w:hyperlink>
      <w:r w:rsidRPr="00633046">
        <w:rPr>
          <w:rFonts w:ascii="Times New Roman" w:hAnsi="Times New Roman"/>
          <w:b/>
          <w:sz w:val="24"/>
          <w:szCs w:val="24"/>
        </w:rPr>
        <w:t xml:space="preserve"> </w:t>
      </w:r>
    </w:p>
    <w:p w14:paraId="3D285EA3" w14:textId="34E1E92F" w:rsidR="00633046" w:rsidRPr="00633046" w:rsidRDefault="00633046" w:rsidP="00633046">
      <w:pPr>
        <w:widowControl/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  <w:bCs/>
          <w:color w:val="FF0000"/>
          <w:sz w:val="24"/>
          <w:szCs w:val="24"/>
        </w:rPr>
      </w:pPr>
      <w:r w:rsidRPr="00633046">
        <w:rPr>
          <w:rFonts w:ascii="Times New Roman" w:hAnsi="Times New Roman"/>
          <w:bCs/>
          <w:color w:val="FF0000"/>
          <w:sz w:val="24"/>
          <w:szCs w:val="24"/>
        </w:rPr>
        <w:t xml:space="preserve">The County does not have access to these </w:t>
      </w:r>
      <w:proofErr w:type="gramStart"/>
      <w:r w:rsidRPr="00633046">
        <w:rPr>
          <w:rFonts w:ascii="Times New Roman" w:hAnsi="Times New Roman"/>
          <w:bCs/>
          <w:color w:val="FF0000"/>
          <w:sz w:val="24"/>
          <w:szCs w:val="24"/>
        </w:rPr>
        <w:t>funds</w:t>
      </w:r>
      <w:proofErr w:type="gramEnd"/>
      <w:r w:rsidRPr="00633046">
        <w:rPr>
          <w:rFonts w:ascii="Times New Roman" w:hAnsi="Times New Roman"/>
          <w:bCs/>
          <w:color w:val="FF0000"/>
          <w:sz w:val="24"/>
          <w:szCs w:val="24"/>
        </w:rPr>
        <w:t xml:space="preserve"> and this is a separate funding program. These funds should be excluded. </w:t>
      </w:r>
    </w:p>
    <w:p w14:paraId="50C372D3" w14:textId="77777777" w:rsidR="00633046" w:rsidRPr="00633046" w:rsidRDefault="00633046" w:rsidP="0063304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55685C72" w14:textId="27FBFDCB" w:rsidR="00633046" w:rsidRPr="00633046" w:rsidRDefault="00633046" w:rsidP="00633046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633046">
        <w:rPr>
          <w:rFonts w:ascii="Times New Roman" w:hAnsi="Times New Roman"/>
          <w:b/>
          <w:sz w:val="24"/>
          <w:szCs w:val="24"/>
        </w:rPr>
        <w:t xml:space="preserve">How is the Rural Digital Opportunity Fund “RDOF” treated?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33046">
        <w:rPr>
          <w:rFonts w:ascii="Times New Roman" w:hAnsi="Times New Roman"/>
          <w:bCs/>
          <w:color w:val="FF0000"/>
          <w:sz w:val="24"/>
          <w:szCs w:val="24"/>
        </w:rPr>
        <w:t>See above.</w:t>
      </w:r>
    </w:p>
    <w:p w14:paraId="1FAF6CA4" w14:textId="77777777" w:rsidR="00633046" w:rsidRPr="00633046" w:rsidRDefault="00633046" w:rsidP="0063304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27E78049" w14:textId="77777777" w:rsidR="00633046" w:rsidRPr="00633046" w:rsidRDefault="00633046" w:rsidP="0063304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633046">
        <w:rPr>
          <w:rFonts w:ascii="Times New Roman" w:hAnsi="Times New Roman"/>
          <w:b/>
          <w:sz w:val="24"/>
          <w:szCs w:val="24"/>
        </w:rPr>
        <w:t>How is existing broadband network service coverage treated?</w:t>
      </w:r>
    </w:p>
    <w:p w14:paraId="7731268A" w14:textId="77777777" w:rsidR="00633046" w:rsidRPr="00633046" w:rsidRDefault="00633046" w:rsidP="00633046">
      <w:pPr>
        <w:widowControl/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bCs/>
          <w:color w:val="FF0000"/>
          <w:sz w:val="24"/>
          <w:szCs w:val="24"/>
        </w:rPr>
      </w:pPr>
      <w:r w:rsidRPr="00633046">
        <w:rPr>
          <w:rFonts w:ascii="Times New Roman" w:hAnsi="Times New Roman"/>
          <w:bCs/>
          <w:color w:val="FF0000"/>
          <w:sz w:val="24"/>
          <w:szCs w:val="24"/>
        </w:rPr>
        <w:t xml:space="preserve">The County does not have an existing Broadband network service only private ISP. </w:t>
      </w:r>
    </w:p>
    <w:p w14:paraId="33A07AEA" w14:textId="77777777" w:rsidR="00633046" w:rsidRPr="00633046" w:rsidRDefault="00633046" w:rsidP="0063304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7DAAE56C" w14:textId="671EC77C" w:rsidR="00633046" w:rsidRPr="00633046" w:rsidRDefault="00633046" w:rsidP="0011537D">
      <w:pPr>
        <w:widowControl/>
        <w:numPr>
          <w:ilvl w:val="0"/>
          <w:numId w:val="1"/>
        </w:numPr>
        <w:overflowPunct/>
        <w:autoSpaceDE/>
        <w:autoSpaceDN/>
        <w:adjustRightInd/>
        <w:spacing w:after="240"/>
        <w:textAlignment w:val="auto"/>
        <w:rPr>
          <w:rFonts w:ascii="Times New Roman" w:hAnsi="Times New Roman"/>
          <w:b/>
          <w:sz w:val="24"/>
          <w:szCs w:val="24"/>
        </w:rPr>
      </w:pPr>
      <w:r w:rsidRPr="00633046">
        <w:rPr>
          <w:rFonts w:ascii="Times New Roman" w:hAnsi="Times New Roman"/>
          <w:b/>
          <w:sz w:val="24"/>
          <w:szCs w:val="24"/>
        </w:rPr>
        <w:t xml:space="preserve">In section 2.3.C it mentions a cap of 2% per year increase in “compensation”.  What does that mean?  Assuming its rates to end users. 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33046">
        <w:rPr>
          <w:rFonts w:ascii="Times New Roman" w:hAnsi="Times New Roman"/>
          <w:bCs/>
          <w:color w:val="FF0000"/>
          <w:sz w:val="24"/>
          <w:szCs w:val="24"/>
        </w:rPr>
        <w:t xml:space="preserve">Correct. </w:t>
      </w:r>
    </w:p>
    <w:p w14:paraId="7E0922FF" w14:textId="77777777" w:rsidR="00633046" w:rsidRDefault="00633046" w:rsidP="00633046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633046">
        <w:rPr>
          <w:rFonts w:ascii="Times New Roman" w:hAnsi="Times New Roman"/>
          <w:b/>
          <w:sz w:val="24"/>
          <w:szCs w:val="24"/>
        </w:rPr>
        <w:t>Is the county a “co-owner” in the asset? per section 2.5. </w:t>
      </w:r>
    </w:p>
    <w:p w14:paraId="7D1B4165" w14:textId="78AC1E08" w:rsidR="00633046" w:rsidRPr="00633046" w:rsidRDefault="00633046" w:rsidP="00633046">
      <w:pPr>
        <w:widowControl/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  <w:bCs/>
          <w:color w:val="FF0000"/>
          <w:sz w:val="24"/>
          <w:szCs w:val="24"/>
        </w:rPr>
      </w:pPr>
      <w:r w:rsidRPr="00633046">
        <w:rPr>
          <w:rFonts w:ascii="Times New Roman" w:hAnsi="Times New Roman"/>
          <w:bCs/>
          <w:color w:val="FF0000"/>
          <w:sz w:val="24"/>
          <w:szCs w:val="24"/>
        </w:rPr>
        <w:t>See addendum 2.</w:t>
      </w:r>
    </w:p>
    <w:p w14:paraId="7B4F1511" w14:textId="6201CC4C" w:rsidR="00633046" w:rsidRPr="00633046" w:rsidRDefault="00633046" w:rsidP="00633046">
      <w:pPr>
        <w:widowControl/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  <w:bCs/>
          <w:color w:val="FF0000"/>
          <w:sz w:val="24"/>
          <w:szCs w:val="24"/>
        </w:rPr>
      </w:pPr>
      <w:r w:rsidRPr="00633046">
        <w:rPr>
          <w:rFonts w:ascii="Times New Roman" w:hAnsi="Times New Roman"/>
          <w:bCs/>
          <w:color w:val="FF0000"/>
          <w:sz w:val="24"/>
          <w:szCs w:val="24"/>
        </w:rPr>
        <w:t>Under Section 2.5 Funding - Replace with the Following</w:t>
      </w:r>
      <w:r w:rsidRPr="00633046">
        <w:rPr>
          <w:rFonts w:ascii="Times New Roman" w:hAnsi="Times New Roman"/>
          <w:bCs/>
          <w:color w:val="FF0000"/>
          <w:sz w:val="24"/>
          <w:szCs w:val="24"/>
        </w:rPr>
        <w:t>:</w:t>
      </w:r>
    </w:p>
    <w:p w14:paraId="23E83818" w14:textId="4301DFF6" w:rsidR="00633046" w:rsidRPr="00633046" w:rsidRDefault="00633046" w:rsidP="00633046">
      <w:pPr>
        <w:widowControl/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633046">
        <w:rPr>
          <w:rFonts w:ascii="Times New Roman" w:hAnsi="Times New Roman"/>
          <w:bCs/>
          <w:color w:val="FF0000"/>
          <w:sz w:val="24"/>
          <w:szCs w:val="24"/>
          <w:u w:val="single"/>
        </w:rPr>
        <w:t>Business Plan</w:t>
      </w:r>
      <w:r w:rsidRPr="00633046">
        <w:rPr>
          <w:rFonts w:ascii="Times New Roman" w:hAnsi="Times New Roman"/>
          <w:bCs/>
          <w:color w:val="FF0000"/>
          <w:sz w:val="24"/>
          <w:szCs w:val="24"/>
          <w:u w:val="single"/>
        </w:rPr>
        <w:t>:</w:t>
      </w:r>
    </w:p>
    <w:p w14:paraId="74318C9F" w14:textId="1CBC895D" w:rsidR="00633046" w:rsidRPr="0017028D" w:rsidRDefault="00633046" w:rsidP="0017028D">
      <w:pPr>
        <w:widowControl/>
        <w:overflowPunct/>
        <w:autoSpaceDE/>
        <w:autoSpaceDN/>
        <w:adjustRightInd/>
        <w:spacing w:line="276" w:lineRule="auto"/>
        <w:ind w:left="720"/>
        <w:textAlignment w:val="auto"/>
        <w:rPr>
          <w:rFonts w:ascii="Times New Roman" w:hAnsi="Times New Roman"/>
          <w:bCs/>
          <w:color w:val="FF0000"/>
          <w:sz w:val="24"/>
          <w:szCs w:val="24"/>
        </w:rPr>
      </w:pPr>
      <w:r w:rsidRPr="00633046">
        <w:rPr>
          <w:rFonts w:ascii="Times New Roman" w:hAnsi="Times New Roman"/>
          <w:bCs/>
          <w:color w:val="FF0000"/>
          <w:sz w:val="24"/>
          <w:szCs w:val="24"/>
        </w:rPr>
        <w:t xml:space="preserve">Provide a description of the general structure of the system and/or the “business plan”, including who owns the infrastructure, who is responsible for maintenance, who is responsible for customer service/billing/marketing, additionally describe any responsibilities that would fall to the County.  </w:t>
      </w:r>
    </w:p>
    <w:sectPr w:rsidR="00633046" w:rsidRPr="0017028D" w:rsidSect="0063304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E1D"/>
    <w:multiLevelType w:val="hybridMultilevel"/>
    <w:tmpl w:val="6D248B02"/>
    <w:lvl w:ilvl="0" w:tplc="32181A9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6"/>
    <w:rsid w:val="0017028D"/>
    <w:rsid w:val="00633046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719B"/>
  <w15:chartTrackingRefBased/>
  <w15:docId w15:val="{39429B92-D23C-49CC-80ED-50E0575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fcc.gov%2Fauction%2F904&amp;data=04%7C01%7C%7C86e5bbf33dcf45122a2208d9302e5681%7Cde876befc139431fab07ba5009092de6%7C0%7C0%7C637593797838529964%7CUnknown%7CTWFpbGZsb3d8eyJWIjoiMC4wLjAwMDAiLCJQIjoiV2luMzIiLCJBTiI6Ik1haWwiLCJXVCI6Mn0%3D%7C1000&amp;sdata=vaJnYIPf8MREWpfyxGQ2BbMoNE6QIFgOXKkqeXJzHLs%3D&amp;reserved=0" TargetMode="External"/><Relationship Id="rId5" Type="http://schemas.openxmlformats.org/officeDocument/2006/relationships/hyperlink" Target="http://gov.findrfp.com/gov/detail.aspx?id=73144&amp;guid=EC92C8ADBCE44CA4881AC74268FB0A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3</cp:revision>
  <dcterms:created xsi:type="dcterms:W3CDTF">2021-06-18T22:41:00Z</dcterms:created>
  <dcterms:modified xsi:type="dcterms:W3CDTF">2021-06-18T22:54:00Z</dcterms:modified>
</cp:coreProperties>
</file>